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1CBC1" w14:textId="77777777" w:rsidR="007178CE" w:rsidRPr="007178CE" w:rsidRDefault="007178CE" w:rsidP="007178CE">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t>Briefkopf</w:t>
      </w:r>
    </w:p>
    <w:p w14:paraId="1EB2997C" w14:textId="77777777" w:rsidR="007178CE" w:rsidRPr="007178CE" w:rsidRDefault="007178CE" w:rsidP="007178CE">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t>Adresse der Behörde</w:t>
      </w:r>
    </w:p>
    <w:p w14:paraId="44B6F2E1" w14:textId="77777777" w:rsidR="007178CE" w:rsidRPr="007178CE" w:rsidRDefault="007178CE" w:rsidP="007178CE">
      <w:pPr>
        <w:spacing w:after="0" w:line="240" w:lineRule="auto"/>
        <w:rPr>
          <w:rFonts w:eastAsia="Times New Roman" w:cs="Times New Roman"/>
          <w:szCs w:val="24"/>
          <w:lang w:eastAsia="de-DE"/>
        </w:rPr>
      </w:pPr>
    </w:p>
    <w:p w14:paraId="39906A7F" w14:textId="77777777" w:rsidR="007178CE" w:rsidRPr="007178CE" w:rsidRDefault="007178CE" w:rsidP="007178CE">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t>Datum</w:t>
      </w:r>
    </w:p>
    <w:p w14:paraId="74524BEC" w14:textId="77777777" w:rsidR="007178CE" w:rsidRPr="007178CE" w:rsidRDefault="007178CE" w:rsidP="007178CE">
      <w:pPr>
        <w:spacing w:after="240" w:line="240" w:lineRule="auto"/>
        <w:rPr>
          <w:rFonts w:eastAsia="Times New Roman" w:cs="Times New Roman"/>
          <w:szCs w:val="24"/>
          <w:lang w:eastAsia="de-DE"/>
        </w:rPr>
      </w:pPr>
    </w:p>
    <w:p w14:paraId="14378902" w14:textId="08620F58" w:rsidR="007178CE" w:rsidRPr="007178CE" w:rsidRDefault="007178CE" w:rsidP="007178CE">
      <w:pPr>
        <w:spacing w:line="240" w:lineRule="auto"/>
        <w:jc w:val="both"/>
        <w:rPr>
          <w:rFonts w:eastAsia="Times New Roman" w:cs="Times New Roman"/>
          <w:szCs w:val="24"/>
          <w:lang w:eastAsia="de-DE"/>
        </w:rPr>
      </w:pPr>
      <w:bookmarkStart w:id="0" w:name="_Hlk36042207"/>
      <w:r w:rsidRPr="007178CE">
        <w:rPr>
          <w:rFonts w:eastAsia="Times New Roman" w:cs="Times New Roman"/>
          <w:b/>
          <w:bCs/>
          <w:color w:val="000000"/>
          <w:szCs w:val="24"/>
          <w:lang w:eastAsia="de-DE"/>
        </w:rPr>
        <w:t>Betreff: Unzulässigkeit des Taubenfütterungsverbots und darauf gestützter Maßnahmen</w:t>
      </w:r>
      <w:r w:rsidR="00D7086F">
        <w:rPr>
          <w:rFonts w:eastAsia="Times New Roman" w:cs="Times New Roman"/>
          <w:b/>
          <w:bCs/>
          <w:color w:val="000000"/>
          <w:szCs w:val="24"/>
          <w:lang w:eastAsia="de-DE"/>
        </w:rPr>
        <w:t xml:space="preserve"> in Zeiten </w:t>
      </w:r>
      <w:bookmarkStart w:id="1" w:name="_GoBack"/>
      <w:bookmarkEnd w:id="1"/>
      <w:r w:rsidR="00D7086F">
        <w:rPr>
          <w:rFonts w:eastAsia="Times New Roman" w:cs="Times New Roman"/>
          <w:b/>
          <w:bCs/>
          <w:color w:val="000000"/>
          <w:szCs w:val="24"/>
          <w:lang w:eastAsia="de-DE"/>
        </w:rPr>
        <w:t>der Corona-Pandemie</w:t>
      </w:r>
      <w:r w:rsidR="000228C3">
        <w:rPr>
          <w:rFonts w:eastAsia="Times New Roman" w:cs="Times New Roman"/>
          <w:b/>
          <w:bCs/>
          <w:color w:val="000000"/>
          <w:szCs w:val="24"/>
          <w:lang w:eastAsia="de-DE"/>
        </w:rPr>
        <w:t xml:space="preserve"> </w:t>
      </w:r>
    </w:p>
    <w:bookmarkEnd w:id="0"/>
    <w:p w14:paraId="318FD756" w14:textId="77777777" w:rsidR="007178CE" w:rsidRPr="007178CE" w:rsidRDefault="007178CE" w:rsidP="007178CE">
      <w:pPr>
        <w:spacing w:after="0" w:line="240" w:lineRule="auto"/>
        <w:rPr>
          <w:rFonts w:eastAsia="Times New Roman" w:cs="Times New Roman"/>
          <w:szCs w:val="24"/>
          <w:lang w:eastAsia="de-DE"/>
        </w:rPr>
      </w:pPr>
    </w:p>
    <w:p w14:paraId="7644CE43" w14:textId="77777777" w:rsidR="007178CE" w:rsidRPr="007178CE" w:rsidRDefault="007178CE" w:rsidP="00AA3365">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t>Sehr geehrte Damen und Herren,</w:t>
      </w:r>
    </w:p>
    <w:p w14:paraId="48A9E03E" w14:textId="7CFA4B58" w:rsidR="007178CE" w:rsidRDefault="007178CE" w:rsidP="00AA3365">
      <w:pPr>
        <w:spacing w:line="240" w:lineRule="auto"/>
        <w:jc w:val="both"/>
        <w:rPr>
          <w:rFonts w:eastAsia="Times New Roman" w:cs="Times New Roman"/>
          <w:color w:val="000000"/>
          <w:szCs w:val="24"/>
          <w:lang w:eastAsia="de-DE"/>
        </w:rPr>
      </w:pPr>
      <w:r w:rsidRPr="007178CE">
        <w:rPr>
          <w:rFonts w:eastAsia="Times New Roman" w:cs="Times New Roman"/>
          <w:color w:val="000000"/>
          <w:szCs w:val="24"/>
          <w:lang w:eastAsia="de-DE"/>
        </w:rPr>
        <w:t xml:space="preserve">wir </w:t>
      </w:r>
      <w:r w:rsidR="00D7086F">
        <w:rPr>
          <w:rFonts w:eastAsia="Times New Roman" w:cs="Times New Roman"/>
          <w:color w:val="000000"/>
          <w:szCs w:val="24"/>
          <w:lang w:eastAsia="de-DE"/>
        </w:rPr>
        <w:t xml:space="preserve">beziehen uns </w:t>
      </w:r>
      <w:r w:rsidRPr="007178CE">
        <w:rPr>
          <w:rFonts w:eastAsia="Times New Roman" w:cs="Times New Roman"/>
          <w:color w:val="000000"/>
          <w:szCs w:val="24"/>
          <w:lang w:eastAsia="de-DE"/>
        </w:rPr>
        <w:t>auf [</w:t>
      </w:r>
      <w:r w:rsidRPr="007178CE">
        <w:rPr>
          <w:rFonts w:eastAsia="Times New Roman" w:cs="Times New Roman"/>
          <w:color w:val="000000"/>
          <w:szCs w:val="24"/>
          <w:shd w:val="clear" w:color="auto" w:fill="808080"/>
          <w:lang w:eastAsia="de-DE"/>
        </w:rPr>
        <w:t>hier Sachverhalt kurz schildern – auf welche</w:t>
      </w:r>
      <w:r w:rsidR="00D7086F">
        <w:rPr>
          <w:rFonts w:eastAsia="Times New Roman" w:cs="Times New Roman"/>
          <w:color w:val="000000"/>
          <w:szCs w:val="24"/>
          <w:shd w:val="clear" w:color="auto" w:fill="808080"/>
          <w:lang w:eastAsia="de-DE"/>
        </w:rPr>
        <w:t xml:space="preserve"> Norm </w:t>
      </w:r>
      <w:r w:rsidRPr="007178CE">
        <w:rPr>
          <w:rFonts w:eastAsia="Times New Roman" w:cs="Times New Roman"/>
          <w:color w:val="000000"/>
          <w:szCs w:val="24"/>
          <w:shd w:val="clear" w:color="auto" w:fill="808080"/>
          <w:lang w:eastAsia="de-DE"/>
        </w:rPr>
        <w:t>wird Bezug genommen, gibt es ein Bußgeld oder andere Maßnahmen?</w:t>
      </w:r>
      <w:r w:rsidRPr="007178CE">
        <w:rPr>
          <w:rFonts w:eastAsia="Times New Roman" w:cs="Times New Roman"/>
          <w:color w:val="000000"/>
          <w:szCs w:val="24"/>
          <w:lang w:eastAsia="de-DE"/>
        </w:rPr>
        <w:t>].</w:t>
      </w:r>
    </w:p>
    <w:p w14:paraId="6403C401" w14:textId="363315CE" w:rsidR="00AA3365" w:rsidRDefault="007178CE" w:rsidP="00AA3365">
      <w:pPr>
        <w:jc w:val="both"/>
      </w:pPr>
      <w:r w:rsidRPr="007178CE">
        <w:rPr>
          <w:rFonts w:eastAsia="Times New Roman" w:cs="Times New Roman"/>
          <w:color w:val="000000"/>
          <w:szCs w:val="24"/>
          <w:lang w:eastAsia="de-DE"/>
        </w:rPr>
        <w:t xml:space="preserve">Das zugrunde liegende Taubenfütterungsverbot ist </w:t>
      </w:r>
      <w:r w:rsidR="002A0D29">
        <w:rPr>
          <w:rFonts w:eastAsia="Times New Roman" w:cs="Times New Roman"/>
          <w:color w:val="000000"/>
          <w:szCs w:val="24"/>
          <w:lang w:eastAsia="de-DE"/>
        </w:rPr>
        <w:t xml:space="preserve">generell </w:t>
      </w:r>
      <w:r w:rsidRPr="007178CE">
        <w:rPr>
          <w:rFonts w:eastAsia="Times New Roman" w:cs="Times New Roman"/>
          <w:color w:val="000000"/>
          <w:szCs w:val="24"/>
          <w:lang w:eastAsia="de-DE"/>
        </w:rPr>
        <w:t>rechtlich unzulässig, da es im Widerspruch zu höherrangigem Recht steht und mithin nicht anwendbar</w:t>
      </w:r>
      <w:r w:rsidR="00657CF9">
        <w:rPr>
          <w:rFonts w:eastAsia="Times New Roman" w:cs="Times New Roman"/>
          <w:color w:val="000000"/>
          <w:szCs w:val="24"/>
          <w:lang w:eastAsia="de-DE"/>
        </w:rPr>
        <w:t xml:space="preserve"> ist</w:t>
      </w:r>
      <w:r w:rsidRPr="007178CE">
        <w:rPr>
          <w:rFonts w:eastAsia="Times New Roman" w:cs="Times New Roman"/>
          <w:color w:val="000000"/>
          <w:szCs w:val="24"/>
          <w:lang w:eastAsia="de-DE"/>
        </w:rPr>
        <w:t xml:space="preserve">. </w:t>
      </w:r>
      <w:r w:rsidR="009303F1">
        <w:rPr>
          <w:rFonts w:eastAsia="Times New Roman" w:cs="Times New Roman"/>
          <w:color w:val="000000"/>
          <w:szCs w:val="24"/>
          <w:lang w:eastAsia="de-DE"/>
        </w:rPr>
        <w:t xml:space="preserve">Das Verbot </w:t>
      </w:r>
      <w:r w:rsidR="002A0D29">
        <w:rPr>
          <w:rFonts w:eastAsia="Times New Roman" w:cs="Times New Roman"/>
          <w:color w:val="000000"/>
          <w:szCs w:val="24"/>
          <w:lang w:eastAsia="de-DE"/>
        </w:rPr>
        <w:t>verstößt insbesondere in Zeiten der Einschränkung des öffentlichen Lebens, wodurch die Lebensmittelabfälle in Kommunen erheblich reduziert sind, gegen das Tierschutzgesetz. Die Nahrungs</w:t>
      </w:r>
      <w:r w:rsidR="006E6345">
        <w:rPr>
          <w:rFonts w:eastAsia="Times New Roman" w:cs="Times New Roman"/>
          <w:color w:val="000000"/>
          <w:szCs w:val="24"/>
          <w:lang w:eastAsia="de-DE"/>
        </w:rPr>
        <w:t>abfälle</w:t>
      </w:r>
      <w:r w:rsidR="008F25BF">
        <w:rPr>
          <w:rFonts w:eastAsia="Times New Roman" w:cs="Times New Roman"/>
          <w:color w:val="000000"/>
          <w:szCs w:val="24"/>
          <w:lang w:eastAsia="de-DE"/>
        </w:rPr>
        <w:t xml:space="preserve"> sind</w:t>
      </w:r>
      <w:r w:rsidR="002A0D29">
        <w:rPr>
          <w:rFonts w:eastAsia="Times New Roman" w:cs="Times New Roman"/>
          <w:color w:val="000000"/>
          <w:szCs w:val="24"/>
          <w:lang w:eastAsia="de-DE"/>
        </w:rPr>
        <w:t xml:space="preserve"> ohnehin </w:t>
      </w:r>
      <w:r w:rsidR="00672FA9">
        <w:rPr>
          <w:rFonts w:eastAsia="Times New Roman" w:cs="Times New Roman"/>
          <w:color w:val="000000"/>
          <w:szCs w:val="24"/>
          <w:lang w:eastAsia="de-DE"/>
        </w:rPr>
        <w:t xml:space="preserve">nur </w:t>
      </w:r>
      <w:r w:rsidR="006E6345">
        <w:rPr>
          <w:rFonts w:eastAsia="Times New Roman" w:cs="Times New Roman"/>
          <w:color w:val="000000"/>
          <w:szCs w:val="24"/>
          <w:lang w:eastAsia="de-DE"/>
        </w:rPr>
        <w:t>eine</w:t>
      </w:r>
      <w:r w:rsidR="00672FA9">
        <w:rPr>
          <w:rFonts w:eastAsia="Times New Roman" w:cs="Times New Roman"/>
          <w:color w:val="000000"/>
          <w:szCs w:val="24"/>
          <w:lang w:eastAsia="de-DE"/>
        </w:rPr>
        <w:t xml:space="preserve"> </w:t>
      </w:r>
      <w:r w:rsidR="006E6345">
        <w:rPr>
          <w:rFonts w:eastAsia="Times New Roman" w:cs="Times New Roman"/>
          <w:color w:val="000000"/>
          <w:szCs w:val="24"/>
          <w:lang w:eastAsia="de-DE"/>
        </w:rPr>
        <w:t>mangelhafte Nahrungsgrundlage</w:t>
      </w:r>
      <w:r w:rsidR="002A0D29">
        <w:rPr>
          <w:rFonts w:eastAsia="Times New Roman" w:cs="Times New Roman"/>
          <w:color w:val="000000"/>
          <w:szCs w:val="24"/>
          <w:lang w:eastAsia="de-DE"/>
        </w:rPr>
        <w:t xml:space="preserve"> </w:t>
      </w:r>
      <w:r w:rsidR="006E6345">
        <w:rPr>
          <w:rFonts w:eastAsia="Times New Roman" w:cs="Times New Roman"/>
          <w:color w:val="000000"/>
          <w:szCs w:val="24"/>
          <w:lang w:eastAsia="de-DE"/>
        </w:rPr>
        <w:t>für die</w:t>
      </w:r>
      <w:r w:rsidR="002A0D29">
        <w:rPr>
          <w:rFonts w:eastAsia="Times New Roman" w:cs="Times New Roman"/>
          <w:color w:val="000000"/>
          <w:szCs w:val="24"/>
          <w:lang w:eastAsia="de-DE"/>
        </w:rPr>
        <w:t xml:space="preserve"> Stadttauben,</w:t>
      </w:r>
      <w:r w:rsidR="008F25BF">
        <w:rPr>
          <w:rFonts w:eastAsia="Times New Roman" w:cs="Times New Roman"/>
          <w:color w:val="000000"/>
          <w:szCs w:val="24"/>
          <w:lang w:eastAsia="de-DE"/>
        </w:rPr>
        <w:t xml:space="preserve"> welche aktuell</w:t>
      </w:r>
      <w:r w:rsidR="002A0D29">
        <w:rPr>
          <w:rFonts w:eastAsia="Times New Roman" w:cs="Times New Roman"/>
          <w:color w:val="000000"/>
          <w:szCs w:val="24"/>
          <w:lang w:eastAsia="de-DE"/>
        </w:rPr>
        <w:t xml:space="preserve">  </w:t>
      </w:r>
      <w:r w:rsidR="006E6345">
        <w:rPr>
          <w:rFonts w:eastAsia="Times New Roman" w:cs="Times New Roman"/>
          <w:color w:val="000000"/>
          <w:szCs w:val="24"/>
          <w:lang w:eastAsia="de-DE"/>
        </w:rPr>
        <w:t xml:space="preserve">nahezu </w:t>
      </w:r>
      <w:r w:rsidR="002A0D29">
        <w:rPr>
          <w:rFonts w:eastAsia="Times New Roman" w:cs="Times New Roman"/>
          <w:color w:val="000000"/>
          <w:szCs w:val="24"/>
          <w:lang w:eastAsia="de-DE"/>
        </w:rPr>
        <w:t>vollständig entzogen</w:t>
      </w:r>
      <w:r w:rsidR="008F25BF">
        <w:rPr>
          <w:rFonts w:eastAsia="Times New Roman" w:cs="Times New Roman"/>
          <w:color w:val="000000"/>
          <w:szCs w:val="24"/>
          <w:lang w:eastAsia="de-DE"/>
        </w:rPr>
        <w:t xml:space="preserve"> wird</w:t>
      </w:r>
      <w:r w:rsidR="009303F1">
        <w:rPr>
          <w:rFonts w:eastAsia="Times New Roman" w:cs="Times New Roman"/>
          <w:color w:val="000000"/>
          <w:szCs w:val="24"/>
          <w:lang w:eastAsia="de-DE"/>
        </w:rPr>
        <w:t>.</w:t>
      </w:r>
      <w:r w:rsidR="002A0D29">
        <w:rPr>
          <w:rFonts w:eastAsia="Times New Roman" w:cs="Times New Roman"/>
          <w:color w:val="000000"/>
          <w:szCs w:val="24"/>
          <w:lang w:eastAsia="de-DE"/>
        </w:rPr>
        <w:t xml:space="preserve"> </w:t>
      </w:r>
      <w:r w:rsidRPr="007178CE">
        <w:rPr>
          <w:rFonts w:eastAsia="Times New Roman" w:cs="Times New Roman"/>
          <w:color w:val="000000"/>
          <w:szCs w:val="24"/>
          <w:lang w:eastAsia="de-DE"/>
        </w:rPr>
        <w:t>Bei der gezielten Tötung von Tauben – wie hier durch Unterbindung der lebensnotwendigen Futtergabe – wird ein Straftatbestand erfüllt.</w:t>
      </w:r>
      <w:r w:rsidR="00AA3365" w:rsidRPr="00AA3365">
        <w:t xml:space="preserve"> </w:t>
      </w:r>
      <w:r w:rsidR="002A0D29">
        <w:t>Die</w:t>
      </w:r>
      <w:r w:rsidR="00AA3365">
        <w:t xml:space="preserve"> rechtlichen Fragestellungen</w:t>
      </w:r>
      <w:r w:rsidR="002A0D29">
        <w:t xml:space="preserve"> zum generellen Fütterungsverbot</w:t>
      </w:r>
      <w:r w:rsidR="00AA3365">
        <w:t xml:space="preserve"> werden in einem Grundsatzverfahren, das durch die Berliner Erna-Graff-Stiftung für Tierschutz (EGS) </w:t>
      </w:r>
      <w:r w:rsidR="00657CF9">
        <w:t>finanziert</w:t>
      </w:r>
      <w:r w:rsidR="00AA3365">
        <w:t xml:space="preserve"> wird, einer allgemein verbindlichen Klärung zugeführt. </w:t>
      </w:r>
      <w:r w:rsidR="00383242">
        <w:t xml:space="preserve">In diesem Verfahren geht es um die rechtliche Unzulässigkeit einer städtischen Rechtsverordnung, die das „Füttern wilder Tauben“ verbietet. </w:t>
      </w:r>
      <w:r w:rsidR="00AA3365">
        <w:t xml:space="preserve">Wie uns bekannt ist, wird die EGS jenes </w:t>
      </w:r>
      <w:r w:rsidR="00383242">
        <w:t>Grundsatzv</w:t>
      </w:r>
      <w:r w:rsidR="00AA3365">
        <w:t>erfahren im Bedarfsfall durch alle Instanzen führen, um die bisherige stückhafte und angesichts neuer Erkenntnisse falsche Rechtsprechung zu revidieren.</w:t>
      </w:r>
    </w:p>
    <w:p w14:paraId="67905F65" w14:textId="60D83EA0" w:rsidR="00AA3365" w:rsidRDefault="00AA3365" w:rsidP="00AA3365">
      <w:pPr>
        <w:jc w:val="both"/>
      </w:pPr>
      <w:r>
        <w:t>Zwar</w:t>
      </w:r>
      <w:r w:rsidR="00FA5EDC">
        <w:t xml:space="preserve"> gibt es bereits ausschnitthafte </w:t>
      </w:r>
      <w:r w:rsidR="00826ECF">
        <w:t>Einzelfalle</w:t>
      </w:r>
      <w:r>
        <w:t xml:space="preserve">ntscheidungen mit Bezug auf Stadttauben, diese beruhen </w:t>
      </w:r>
      <w:r w:rsidR="00FA5EDC">
        <w:t>allerdings</w:t>
      </w:r>
      <w:r>
        <w:t xml:space="preserve"> auf der nunmehr unhaltbaren Annahme, dass Tauben </w:t>
      </w:r>
      <w:r w:rsidR="00826ECF">
        <w:t xml:space="preserve">Krankheitsüberträger </w:t>
      </w:r>
      <w:r>
        <w:t xml:space="preserve">und </w:t>
      </w:r>
      <w:r w:rsidR="00826ECF">
        <w:t xml:space="preserve">damit </w:t>
      </w:r>
      <w:r>
        <w:t xml:space="preserve">als </w:t>
      </w:r>
      <w:r w:rsidR="00826ECF">
        <w:t xml:space="preserve">Schädlinge im Sinne des IfSG </w:t>
      </w:r>
      <w:r>
        <w:t xml:space="preserve">anzusehen seien. </w:t>
      </w:r>
      <w:r w:rsidR="00383242">
        <w:t>Zwischenzeitlich gewonnene</w:t>
      </w:r>
      <w:r>
        <w:t xml:space="preserve"> biologische und (veterinär-)medizinische Erkenntnisse widerlegen </w:t>
      </w:r>
      <w:r w:rsidR="00826ECF">
        <w:t>diese Annahme jedoch</w:t>
      </w:r>
      <w:r>
        <w:t xml:space="preserve">. </w:t>
      </w:r>
      <w:r w:rsidR="00383242">
        <w:t>Die</w:t>
      </w:r>
      <w:r w:rsidR="00FA5EDC">
        <w:t xml:space="preserve"> bisherigen Entscheidungen</w:t>
      </w:r>
      <w:r w:rsidR="00383242">
        <w:t xml:space="preserve"> sind folglich</w:t>
      </w:r>
      <w:r w:rsidR="00FA5EDC">
        <w:t xml:space="preserve"> überholt. Mithin ist eine</w:t>
      </w:r>
      <w:r>
        <w:t xml:space="preserve"> abweichende und im Sinne des Tier- und Taubenschutzes wirkende Entscheidung zu erwarten.</w:t>
      </w:r>
      <w:r w:rsidR="00D34820">
        <w:t xml:space="preserve"> Vor diesem Hintergrund ist es </w:t>
      </w:r>
      <w:r w:rsidR="009303F1">
        <w:t>angemessen</w:t>
      </w:r>
      <w:r w:rsidR="00D34820">
        <w:t>,</w:t>
      </w:r>
      <w:r w:rsidR="00FA5EDC">
        <w:t xml:space="preserve"> wenn Sie als Kommune</w:t>
      </w:r>
      <w:r>
        <w:t xml:space="preserve"> </w:t>
      </w:r>
      <w:r w:rsidR="009303F1">
        <w:t xml:space="preserve">das bestehende Taubenfütterungsverbot angesichts der Beschränkungen des öffentlichen Lebens durch das Coronavirus aussetzen und ferner </w:t>
      </w:r>
      <w:r>
        <w:t>bereits vor</w:t>
      </w:r>
      <w:r w:rsidR="00FA5EDC">
        <w:t xml:space="preserve"> Erlass der</w:t>
      </w:r>
      <w:r>
        <w:t xml:space="preserve"> Entscheidung </w:t>
      </w:r>
      <w:r w:rsidR="00FA5EDC">
        <w:t xml:space="preserve">im Grundsatzverfahren </w:t>
      </w:r>
      <w:r>
        <w:t>eine tierschutzfreundliche Lösung treffen,</w:t>
      </w:r>
      <w:r w:rsidR="00FA5EDC">
        <w:t xml:space="preserve"> auch um ansonsten notwendige Folgeprozesse zu vermeiden.</w:t>
      </w:r>
    </w:p>
    <w:p w14:paraId="380C86C3" w14:textId="3F638F30" w:rsidR="007178CE" w:rsidRPr="00AA3365" w:rsidRDefault="007178CE" w:rsidP="00AA3365">
      <w:pPr>
        <w:spacing w:line="240" w:lineRule="auto"/>
        <w:jc w:val="both"/>
        <w:rPr>
          <w:rFonts w:eastAsia="Times New Roman" w:cs="Times New Roman"/>
          <w:color w:val="000000"/>
          <w:szCs w:val="24"/>
          <w:lang w:eastAsia="de-DE"/>
        </w:rPr>
      </w:pPr>
      <w:r w:rsidRPr="007178CE">
        <w:rPr>
          <w:rFonts w:eastAsia="Times New Roman" w:cs="Times New Roman"/>
          <w:color w:val="000000"/>
          <w:szCs w:val="24"/>
          <w:lang w:eastAsia="de-DE"/>
        </w:rPr>
        <w:t>Dazu im Einzelnen:</w:t>
      </w:r>
    </w:p>
    <w:p w14:paraId="539AB151" w14:textId="77777777" w:rsidR="007178CE" w:rsidRPr="007178CE" w:rsidRDefault="007178CE" w:rsidP="007178CE">
      <w:pPr>
        <w:pStyle w:val="berschrift2"/>
        <w:rPr>
          <w:rFonts w:eastAsia="Times New Roman"/>
          <w:sz w:val="36"/>
          <w:szCs w:val="36"/>
          <w:lang w:eastAsia="de-DE"/>
        </w:rPr>
      </w:pPr>
      <w:r w:rsidRPr="007178CE">
        <w:rPr>
          <w:rFonts w:eastAsia="Times New Roman"/>
          <w:lang w:eastAsia="de-DE"/>
        </w:rPr>
        <w:t>Das Taubenfütterungsverbot ist vorliegend nicht anwendbar</w:t>
      </w:r>
    </w:p>
    <w:p w14:paraId="70915F64" w14:textId="77777777" w:rsidR="007178CE" w:rsidRPr="007178CE" w:rsidRDefault="007178CE" w:rsidP="007178CE">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t>Das Taubenfütterungsverbot ist bereits nicht anwendbar, da die Regelung des [</w:t>
      </w:r>
      <w:r w:rsidRPr="007178CE">
        <w:rPr>
          <w:rFonts w:eastAsia="Times New Roman" w:cs="Times New Roman"/>
          <w:color w:val="000000"/>
          <w:szCs w:val="24"/>
          <w:shd w:val="clear" w:color="auto" w:fill="808080"/>
          <w:lang w:eastAsia="de-DE"/>
        </w:rPr>
        <w:t>hier Norm einfügen]</w:t>
      </w:r>
      <w:r w:rsidRPr="007178CE">
        <w:rPr>
          <w:rFonts w:eastAsia="Times New Roman" w:cs="Times New Roman"/>
          <w:color w:val="000000"/>
          <w:szCs w:val="24"/>
          <w:lang w:eastAsia="de-DE"/>
        </w:rPr>
        <w:t xml:space="preserve"> im Widerspruch zu vorrangigem Bundesrecht steht (Art. 31 GG). Das Taubenfütterungsverbot verletzt gleich mehrere bundesrechtliche Normen des Tierschutzgesetzes (TierSchG).</w:t>
      </w:r>
    </w:p>
    <w:p w14:paraId="14057FE8" w14:textId="77777777" w:rsidR="007178CE" w:rsidRPr="007178CE" w:rsidRDefault="007178CE" w:rsidP="007178CE">
      <w:pPr>
        <w:pStyle w:val="berschrift3"/>
        <w:rPr>
          <w:rFonts w:eastAsia="Times New Roman"/>
          <w:sz w:val="27"/>
          <w:szCs w:val="27"/>
          <w:lang w:eastAsia="de-DE"/>
        </w:rPr>
      </w:pPr>
      <w:r w:rsidRPr="007178CE">
        <w:rPr>
          <w:rFonts w:eastAsia="Times New Roman"/>
          <w:lang w:eastAsia="de-DE"/>
        </w:rPr>
        <w:lastRenderedPageBreak/>
        <w:t>Verstoß gegen § 17 Nr. 1 TierSchG</w:t>
      </w:r>
    </w:p>
    <w:p w14:paraId="3208B56F" w14:textId="77777777" w:rsidR="007178CE" w:rsidRPr="007178CE" w:rsidRDefault="007178CE" w:rsidP="007178CE">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t xml:space="preserve">Das Fütterungsverbot widerspricht zunächst § 17 Nr.1 TierSchG. Danach ist es verboten, ein Wirbeltier ohne vernünftigen Grund zu töten. Durch die Untersagung der für die Tauben lebensnotwendigen Fütterung werden diese getötet. Dies obwohl Sie als Kommune eine Pflicht zur Versorgung der Tauben trifft. </w:t>
      </w:r>
      <w:r w:rsidRPr="00C42E60">
        <w:rPr>
          <w:rFonts w:eastAsia="Times New Roman" w:cs="Times New Roman"/>
          <w:color w:val="000000"/>
          <w:szCs w:val="24"/>
          <w:lang w:eastAsia="de-DE"/>
        </w:rPr>
        <w:t>Denn diese sind als Fundtiere zu behandeln</w:t>
      </w:r>
      <w:r w:rsidRPr="007178CE">
        <w:rPr>
          <w:rFonts w:eastAsia="Times New Roman" w:cs="Times New Roman"/>
          <w:color w:val="000000"/>
          <w:szCs w:val="24"/>
          <w:lang w:eastAsia="de-DE"/>
        </w:rPr>
        <w:t xml:space="preserve"> (unten </w:t>
      </w:r>
      <w:r w:rsidR="005836B4" w:rsidRPr="005836B4">
        <w:rPr>
          <w:rFonts w:eastAsia="Times New Roman" w:cs="Times New Roman"/>
          <w:b/>
          <w:color w:val="000000"/>
          <w:szCs w:val="24"/>
          <w:lang w:eastAsia="de-DE"/>
        </w:rPr>
        <w:fldChar w:fldCharType="begin"/>
      </w:r>
      <w:r w:rsidR="005836B4" w:rsidRPr="005836B4">
        <w:rPr>
          <w:rFonts w:eastAsia="Times New Roman" w:cs="Times New Roman"/>
          <w:b/>
          <w:color w:val="000000"/>
          <w:szCs w:val="24"/>
          <w:lang w:eastAsia="de-DE"/>
        </w:rPr>
        <w:instrText xml:space="preserve"> REF _Ref23865334 \w \h  \* MERGEFORMAT </w:instrText>
      </w:r>
      <w:r w:rsidR="005836B4" w:rsidRPr="005836B4">
        <w:rPr>
          <w:rFonts w:eastAsia="Times New Roman" w:cs="Times New Roman"/>
          <w:b/>
          <w:color w:val="000000"/>
          <w:szCs w:val="24"/>
          <w:lang w:eastAsia="de-DE"/>
        </w:rPr>
      </w:r>
      <w:r w:rsidR="005836B4" w:rsidRPr="005836B4">
        <w:rPr>
          <w:rFonts w:eastAsia="Times New Roman" w:cs="Times New Roman"/>
          <w:b/>
          <w:color w:val="000000"/>
          <w:szCs w:val="24"/>
          <w:lang w:eastAsia="de-DE"/>
        </w:rPr>
        <w:fldChar w:fldCharType="separate"/>
      </w:r>
      <w:r w:rsidR="00361775">
        <w:rPr>
          <w:rFonts w:eastAsia="Times New Roman" w:cs="Times New Roman"/>
          <w:b/>
          <w:color w:val="000000"/>
          <w:szCs w:val="24"/>
          <w:lang w:eastAsia="de-DE"/>
        </w:rPr>
        <w:t>A)I)1)a)</w:t>
      </w:r>
      <w:r w:rsidR="005836B4" w:rsidRPr="005836B4">
        <w:rPr>
          <w:rFonts w:eastAsia="Times New Roman" w:cs="Times New Roman"/>
          <w:b/>
          <w:color w:val="000000"/>
          <w:szCs w:val="24"/>
          <w:lang w:eastAsia="de-DE"/>
        </w:rPr>
        <w:fldChar w:fldCharType="end"/>
      </w:r>
      <w:r w:rsidRPr="007178CE">
        <w:rPr>
          <w:rFonts w:eastAsia="Times New Roman" w:cs="Times New Roman"/>
          <w:color w:val="000000"/>
          <w:szCs w:val="24"/>
          <w:lang w:eastAsia="de-DE"/>
        </w:rPr>
        <w:t xml:space="preserve">). Darüber hinaus besteht kein vernünftiger Grund für eine Tötung (unten </w:t>
      </w:r>
      <w:r w:rsidR="005836B4" w:rsidRPr="005836B4">
        <w:rPr>
          <w:rFonts w:eastAsia="Times New Roman" w:cs="Times New Roman"/>
          <w:b/>
          <w:color w:val="000000"/>
          <w:szCs w:val="24"/>
          <w:lang w:eastAsia="de-DE"/>
        </w:rPr>
        <w:fldChar w:fldCharType="begin"/>
      </w:r>
      <w:r w:rsidR="005836B4" w:rsidRPr="005836B4">
        <w:rPr>
          <w:rFonts w:eastAsia="Times New Roman" w:cs="Times New Roman"/>
          <w:b/>
          <w:color w:val="000000"/>
          <w:szCs w:val="24"/>
          <w:lang w:eastAsia="de-DE"/>
        </w:rPr>
        <w:instrText xml:space="preserve"> REF _Ref23865318 \w \h </w:instrText>
      </w:r>
      <w:r w:rsidR="005836B4">
        <w:rPr>
          <w:rFonts w:eastAsia="Times New Roman" w:cs="Times New Roman"/>
          <w:b/>
          <w:color w:val="000000"/>
          <w:szCs w:val="24"/>
          <w:lang w:eastAsia="de-DE"/>
        </w:rPr>
        <w:instrText xml:space="preserve"> \* MERGEFORMAT </w:instrText>
      </w:r>
      <w:r w:rsidR="005836B4" w:rsidRPr="005836B4">
        <w:rPr>
          <w:rFonts w:eastAsia="Times New Roman" w:cs="Times New Roman"/>
          <w:b/>
          <w:color w:val="000000"/>
          <w:szCs w:val="24"/>
          <w:lang w:eastAsia="de-DE"/>
        </w:rPr>
      </w:r>
      <w:r w:rsidR="005836B4" w:rsidRPr="005836B4">
        <w:rPr>
          <w:rFonts w:eastAsia="Times New Roman" w:cs="Times New Roman"/>
          <w:b/>
          <w:color w:val="000000"/>
          <w:szCs w:val="24"/>
          <w:lang w:eastAsia="de-DE"/>
        </w:rPr>
        <w:fldChar w:fldCharType="separate"/>
      </w:r>
      <w:r w:rsidR="00361775">
        <w:rPr>
          <w:rFonts w:eastAsia="Times New Roman" w:cs="Times New Roman"/>
          <w:b/>
          <w:color w:val="000000"/>
          <w:szCs w:val="24"/>
          <w:lang w:eastAsia="de-DE"/>
        </w:rPr>
        <w:t>A)I)1)b)</w:t>
      </w:r>
      <w:r w:rsidR="005836B4" w:rsidRPr="005836B4">
        <w:rPr>
          <w:rFonts w:eastAsia="Times New Roman" w:cs="Times New Roman"/>
          <w:b/>
          <w:color w:val="000000"/>
          <w:szCs w:val="24"/>
          <w:lang w:eastAsia="de-DE"/>
        </w:rPr>
        <w:fldChar w:fldCharType="end"/>
      </w:r>
      <w:r w:rsidRPr="007178CE">
        <w:rPr>
          <w:rFonts w:eastAsia="Times New Roman" w:cs="Times New Roman"/>
          <w:color w:val="000000"/>
          <w:szCs w:val="24"/>
          <w:lang w:eastAsia="de-DE"/>
        </w:rPr>
        <w:t>). </w:t>
      </w:r>
    </w:p>
    <w:p w14:paraId="1325281D" w14:textId="5765006F" w:rsidR="007178CE" w:rsidRPr="007178CE" w:rsidRDefault="007178CE" w:rsidP="007178CE">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t>Mit dem Erlass des Fütterungsverbots haben Sie als Kommune die Tötung von Tauben veranlasst. Denn nur aufgrund des Verbotes ist es nicht mehr möglich, die Tauben mit lebensnotwendigem artgerechtem Futter zu versorgen. Ohne eine Futtergabe wird eine große Anzahl von Tauben jedoch verenden, da sie sich –  von den ansonsten allein verfügbaren Stadtabfällen – nicht hinreichend ernähren können (</w:t>
      </w:r>
      <w:r w:rsidRPr="005A307F">
        <w:t xml:space="preserve">Peter Havelka und Silvia Sabo, </w:t>
      </w:r>
      <w:r>
        <w:t>„</w:t>
      </w:r>
      <w:r w:rsidRPr="007178CE">
        <w:rPr>
          <w:i/>
        </w:rPr>
        <w:t>Mit Stadttauben leben</w:t>
      </w:r>
      <w:r>
        <w:t>“</w:t>
      </w:r>
      <w:r w:rsidRPr="005A307F">
        <w:t>,</w:t>
      </w:r>
      <w:r w:rsidRPr="007178CE">
        <w:t xml:space="preserve"> </w:t>
      </w:r>
      <w:r>
        <w:t xml:space="preserve">Arbeitsblätter zum Naturschutz 18, 1995, </w:t>
      </w:r>
      <w:r w:rsidRPr="007178CE">
        <w:t>Landesanstalt für Umweltschutz Baden-Württemberg</w:t>
      </w:r>
      <w:r>
        <w:t>,</w:t>
      </w:r>
      <w:r w:rsidRPr="005A307F">
        <w:t xml:space="preserve"> S. 52</w:t>
      </w:r>
      <w:r w:rsidRPr="007178CE">
        <w:rPr>
          <w:rFonts w:eastAsia="Times New Roman" w:cs="Times New Roman"/>
          <w:color w:val="000000"/>
          <w:szCs w:val="24"/>
          <w:lang w:eastAsia="de-DE"/>
        </w:rPr>
        <w:t>). Um diesen Erfolg geht es bei dem Fütterungsverbot auch offensichtlich, da eine Reduktion des Taubenbestandes angestrebt wird. Das geschilderte Vorgehen verletzt § 17 Nr. 1 TierSchG</w:t>
      </w:r>
      <w:r w:rsidR="00372CD1">
        <w:rPr>
          <w:rFonts w:eastAsia="Times New Roman" w:cs="Times New Roman"/>
          <w:color w:val="000000"/>
          <w:szCs w:val="24"/>
          <w:lang w:eastAsia="de-DE"/>
        </w:rPr>
        <w:t>, insbesondere durch den derzeitigen massiven Rückgang von Lebensmittelabfällen.</w:t>
      </w:r>
    </w:p>
    <w:p w14:paraId="13808A46" w14:textId="77777777" w:rsidR="007178CE" w:rsidRPr="00C42E60" w:rsidRDefault="007178CE" w:rsidP="007178CE">
      <w:pPr>
        <w:pStyle w:val="berschrift4"/>
      </w:pPr>
      <w:bookmarkStart w:id="2" w:name="_Ref23865334"/>
      <w:r w:rsidRPr="00C42E60">
        <w:t>Verpflichtung zur Versorgung der Tauben als Fundtiere</w:t>
      </w:r>
      <w:bookmarkEnd w:id="2"/>
    </w:p>
    <w:p w14:paraId="45455993" w14:textId="77777777" w:rsidR="007178CE" w:rsidRPr="007178CE" w:rsidRDefault="007178CE" w:rsidP="007178CE">
      <w:pPr>
        <w:spacing w:line="240" w:lineRule="auto"/>
        <w:jc w:val="both"/>
        <w:rPr>
          <w:rFonts w:eastAsia="Times New Roman" w:cs="Times New Roman"/>
          <w:szCs w:val="24"/>
          <w:lang w:eastAsia="de-DE"/>
        </w:rPr>
      </w:pPr>
      <w:r w:rsidRPr="004E3EF5">
        <w:rPr>
          <w:rFonts w:eastAsia="Times New Roman" w:cs="Times New Roman"/>
          <w:color w:val="000000"/>
          <w:szCs w:val="24"/>
          <w:lang w:eastAsia="de-DE"/>
        </w:rPr>
        <w:t xml:space="preserve">Dies wiegt umso schwerer, da </w:t>
      </w:r>
      <w:r w:rsidRPr="00C42E60">
        <w:rPr>
          <w:rFonts w:eastAsia="Times New Roman" w:cs="Times New Roman"/>
          <w:color w:val="000000"/>
          <w:szCs w:val="24"/>
          <w:lang w:eastAsia="de-DE"/>
        </w:rPr>
        <w:t>Sie als Kommune zur Versorgung der Tiere verpflichtet sind, die sich an den Anforderungen des § 2 TierSchG auszurichten hat. Dies folgt aus Ihrer Zuständigkeit für aufgefundene Fundtiere (s. § 965 Abs. 2 BGB).</w:t>
      </w:r>
      <w:r w:rsidRPr="007178CE">
        <w:rPr>
          <w:rFonts w:eastAsia="Times New Roman" w:cs="Times New Roman"/>
          <w:color w:val="000000"/>
          <w:szCs w:val="24"/>
          <w:lang w:eastAsia="de-DE"/>
        </w:rPr>
        <w:t xml:space="preserve"> Es ist öffentliche Aufgabe, die Versorgung, Ernährung, Unterbringung und Pflege von Fundtieren sicherzustellen und sich dann im Rahmen der Schadensregulierung an den jeweiligen Eigentümer zu halten. Die hier gegenständlichen Stadttauben sind solche Fundtiere.</w:t>
      </w:r>
    </w:p>
    <w:p w14:paraId="108A3472" w14:textId="77777777" w:rsidR="007178CE" w:rsidRPr="007178CE" w:rsidRDefault="007178CE" w:rsidP="007178CE">
      <w:pPr>
        <w:pStyle w:val="berschrift5"/>
        <w:rPr>
          <w:rFonts w:eastAsia="Times New Roman"/>
          <w:sz w:val="20"/>
          <w:szCs w:val="20"/>
          <w:lang w:eastAsia="de-DE"/>
        </w:rPr>
      </w:pPr>
      <w:r w:rsidRPr="007178CE">
        <w:rPr>
          <w:rFonts w:eastAsia="Times New Roman"/>
          <w:lang w:eastAsia="de-DE"/>
        </w:rPr>
        <w:t>Stadttauben sind Nachfahren von Zuchttauben</w:t>
      </w:r>
    </w:p>
    <w:p w14:paraId="210ABD4D" w14:textId="77777777" w:rsidR="007178CE" w:rsidRPr="007178CE" w:rsidRDefault="007178CE" w:rsidP="007178CE">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t xml:space="preserve">Denn Stadttauben sind </w:t>
      </w:r>
      <w:r w:rsidRPr="00C42E60">
        <w:rPr>
          <w:rFonts w:eastAsia="Times New Roman" w:cs="Times New Roman"/>
          <w:color w:val="000000"/>
          <w:szCs w:val="24"/>
          <w:lang w:eastAsia="de-DE"/>
        </w:rPr>
        <w:t>keine Wildtiere</w:t>
      </w:r>
      <w:r w:rsidRPr="004E3EF5">
        <w:rPr>
          <w:rFonts w:eastAsia="Times New Roman" w:cs="Times New Roman"/>
          <w:color w:val="000000"/>
          <w:szCs w:val="24"/>
          <w:lang w:eastAsia="de-DE"/>
        </w:rPr>
        <w:t xml:space="preserve">, sondern domestizierte Zucht- oder Rassetauben. Aus diesem Grund besteht </w:t>
      </w:r>
      <w:r w:rsidRPr="00C42E60">
        <w:rPr>
          <w:rFonts w:eastAsia="Times New Roman" w:cs="Times New Roman"/>
          <w:color w:val="000000"/>
          <w:szCs w:val="24"/>
          <w:lang w:eastAsia="de-DE"/>
        </w:rPr>
        <w:t>weiterhin Eigentum eines Dritten an der Stadttaube</w:t>
      </w:r>
      <w:r w:rsidRPr="004E3EF5">
        <w:rPr>
          <w:rFonts w:eastAsia="Times New Roman" w:cs="Times New Roman"/>
          <w:color w:val="000000"/>
          <w:szCs w:val="24"/>
          <w:lang w:eastAsia="de-DE"/>
        </w:rPr>
        <w:t xml:space="preserve"> selbst (wenn sie entflogen oder ausgesetzt </w:t>
      </w:r>
      <w:r w:rsidRPr="00FF39C9">
        <w:rPr>
          <w:rFonts w:eastAsia="Times New Roman" w:cs="Times New Roman"/>
          <w:color w:val="000000"/>
          <w:szCs w:val="24"/>
          <w:lang w:eastAsia="de-DE"/>
        </w:rPr>
        <w:t xml:space="preserve">wurde) </w:t>
      </w:r>
      <w:r w:rsidRPr="00C42E60">
        <w:rPr>
          <w:rFonts w:eastAsia="Times New Roman" w:cs="Times New Roman"/>
          <w:color w:val="000000"/>
          <w:szCs w:val="24"/>
          <w:lang w:eastAsia="de-DE"/>
        </w:rPr>
        <w:t>oder es bestand Eigentum an ihren Vorfahren, das sich nunmehr an den Nachkommen fortsetzt.</w:t>
      </w:r>
      <w:r w:rsidRPr="004E3EF5">
        <w:rPr>
          <w:rFonts w:eastAsia="Times New Roman" w:cs="Times New Roman"/>
          <w:color w:val="000000"/>
          <w:szCs w:val="24"/>
          <w:lang w:eastAsia="de-DE"/>
        </w:rPr>
        <w:t xml:space="preserve"> Denn</w:t>
      </w:r>
      <w:r w:rsidRPr="007178CE">
        <w:rPr>
          <w:rFonts w:eastAsia="Times New Roman" w:cs="Times New Roman"/>
          <w:color w:val="000000"/>
          <w:szCs w:val="24"/>
          <w:lang w:eastAsia="de-DE"/>
        </w:rPr>
        <w:t xml:space="preserve"> bei verloren gegangenen oder ausgesetzten Zucht- oder Rassetauben besteht das Eigentumsrecht wie bei jedem anderen verloren gegangenen Haustier fort und erstreckt sich auch auf deren Nachkommen gem. § 953 BGB (</w:t>
      </w:r>
      <w:r w:rsidR="005836B4" w:rsidRPr="005836B4">
        <w:rPr>
          <w:rFonts w:eastAsia="Times New Roman" w:cs="Times New Roman"/>
          <w:color w:val="000000"/>
          <w:szCs w:val="24"/>
          <w:lang w:eastAsia="de-DE"/>
        </w:rPr>
        <w:t>BVerwG, Urteil vom 26. April 2018 – 3 C 24/16 –, BVerwGE 162, 71-82, Rn. 16</w:t>
      </w:r>
      <w:r w:rsidRPr="007178CE">
        <w:rPr>
          <w:rFonts w:eastAsia="Times New Roman" w:cs="Times New Roman"/>
          <w:color w:val="000000"/>
          <w:szCs w:val="24"/>
          <w:lang w:eastAsia="de-DE"/>
        </w:rPr>
        <w:t>). Nach § 953 BGB gehören Erzeugnisse und sonstige Bestandteile des Tieres, welches nach § 90 a S. 3 BGB als Sache zu behandeln ist, auch nach der Trennung dem Eigentümer der Sache. Die Jungtiere der Tauben gelten dabei als Erzeugnisse im Sinne des § 99 Abs. 1 BGB (BeckOK/Fritzsch Rn 4; Staud/Stieper Rn 7; NK/Ring 12; BeckOGK/Mössner Rn 5.2; MüKo/Stresemann Rn 2). </w:t>
      </w:r>
    </w:p>
    <w:p w14:paraId="340CFC2E" w14:textId="77777777" w:rsidR="007178CE" w:rsidRPr="007178CE" w:rsidRDefault="007178CE" w:rsidP="007178CE">
      <w:pPr>
        <w:spacing w:line="240" w:lineRule="auto"/>
        <w:jc w:val="both"/>
        <w:rPr>
          <w:rFonts w:eastAsia="Times New Roman" w:cs="Times New Roman"/>
          <w:szCs w:val="24"/>
          <w:lang w:eastAsia="de-DE"/>
        </w:rPr>
      </w:pPr>
      <w:r w:rsidRPr="004E3EF5">
        <w:rPr>
          <w:rFonts w:eastAsia="Times New Roman" w:cs="Times New Roman"/>
          <w:color w:val="000000"/>
          <w:szCs w:val="24"/>
          <w:lang w:eastAsia="de-DE"/>
        </w:rPr>
        <w:t xml:space="preserve">Es ist </w:t>
      </w:r>
      <w:r w:rsidRPr="00C42E60">
        <w:rPr>
          <w:rFonts w:eastAsia="Times New Roman" w:cs="Times New Roman"/>
          <w:color w:val="000000"/>
          <w:szCs w:val="24"/>
          <w:lang w:eastAsia="de-DE"/>
        </w:rPr>
        <w:t>wissenschaftlich anerkannt, dass sämtliche in der Stadt lebende Tauben gezüchtete Rasse- oder Haustauben, verlorengegangene Brief- oder Hochzeitstauben bzw. deren Abkömmlinge sind (Tierärztliche Hochschule Hannover 1995/1996</w:t>
      </w:r>
      <w:r w:rsidRPr="007178CE">
        <w:rPr>
          <w:rFonts w:eastAsia="Times New Roman" w:cs="Times New Roman"/>
          <w:color w:val="000000"/>
          <w:szCs w:val="24"/>
          <w:lang w:eastAsia="de-DE"/>
        </w:rPr>
        <w:t xml:space="preserve"> zitiert in Stephanie Elsner, Wege zur friedlichen Koexistenz Konzept zur nachhaltigen Bestandskontrolle bei Stadttauben, Deutsches Tierärzteblatt 08/2008, S. 1040; Bundesarbeitsgruppe (BAG) Stadttauben bei „Menschen für Tierrechte - Bundesverband der Tierversuchsgegner“ e.V., Konzept zur tierschutzgerechten Regulierung der Stadttaubenpopulation, S. 2; Alexandra Weyrather, Untersuchung zur Stadttaubenpopulation von Frankfurt am Main und zum Konzept ihrer tierschutzgerechten Regulation, S.3; Umweltamt der Stadt Hagen, Das Stadttaubenprojekt in Hagen – Lösungsansätze für ein Großstadt-Phänomen, S. 1; Rudolf Reichert, Felsentauben und Stadttauben, S.1; sogar Deutscher Schädlingsbekämpfer-Verband e.V.(DSV):</w:t>
      </w:r>
      <w:hyperlink r:id="rId7" w:history="1">
        <w:r w:rsidRPr="007178CE">
          <w:rPr>
            <w:rFonts w:eastAsia="Times New Roman" w:cs="Times New Roman"/>
            <w:color w:val="000000"/>
            <w:szCs w:val="24"/>
            <w:lang w:eastAsia="de-DE"/>
          </w:rPr>
          <w:t>https://www.dsvonline.de/fuerverbraucher/schaedlingsverzeichnis/schaedlinge-h-</w:t>
        </w:r>
        <w:r w:rsidRPr="007178CE">
          <w:rPr>
            <w:rFonts w:eastAsia="Times New Roman" w:cs="Times New Roman"/>
            <w:color w:val="000000"/>
            <w:szCs w:val="24"/>
            <w:lang w:eastAsia="de-DE"/>
          </w:rPr>
          <w:lastRenderedPageBreak/>
          <w:t>n/haustaube.html</w:t>
        </w:r>
      </w:hyperlink>
      <w:r w:rsidRPr="007178CE">
        <w:rPr>
          <w:rFonts w:eastAsia="Times New Roman" w:cs="Times New Roman"/>
          <w:color w:val="000000"/>
          <w:szCs w:val="24"/>
          <w:lang w:eastAsia="de-DE"/>
        </w:rPr>
        <w:t>). Sie sind daher gerade vom Menschen gezüchtet, domestiziert bzw. in ihrer Entwicklung vom Menschen beeinflusst. </w:t>
      </w:r>
    </w:p>
    <w:p w14:paraId="713335F1" w14:textId="77777777" w:rsidR="007178CE" w:rsidRPr="007178CE" w:rsidRDefault="007178CE" w:rsidP="007178CE">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t>Das einstmals an den Tauben bestehende Eigentum kann auch nicht durch Dereliktion aufgegeben worden sein. Denn die Besitzaufgabe an Tieren verstößt gegen ein gesetzliches Verbot im Sinne des § 134 BGB (</w:t>
      </w:r>
      <w:r w:rsidR="005836B4" w:rsidRPr="005836B4">
        <w:rPr>
          <w:rFonts w:eastAsia="Times New Roman" w:cs="Times New Roman"/>
          <w:color w:val="000000"/>
          <w:szCs w:val="24"/>
          <w:lang w:eastAsia="de-DE"/>
        </w:rPr>
        <w:t xml:space="preserve">BVerwG, Urteil vom 26. April 2018 – 3 C 24/16 –, BVerwGE 162, 71-82, Rn. </w:t>
      </w:r>
      <w:r w:rsidR="005836B4">
        <w:rPr>
          <w:rFonts w:eastAsia="Times New Roman" w:cs="Times New Roman"/>
          <w:color w:val="000000"/>
          <w:szCs w:val="24"/>
          <w:lang w:eastAsia="de-DE"/>
        </w:rPr>
        <w:t xml:space="preserve">13, </w:t>
      </w:r>
      <w:r w:rsidR="005836B4" w:rsidRPr="005836B4">
        <w:rPr>
          <w:rFonts w:eastAsia="Times New Roman" w:cs="Times New Roman"/>
          <w:color w:val="000000"/>
          <w:szCs w:val="24"/>
          <w:lang w:eastAsia="de-DE"/>
        </w:rPr>
        <w:t>16</w:t>
      </w:r>
      <w:r w:rsidRPr="007178CE">
        <w:rPr>
          <w:rFonts w:eastAsia="Times New Roman" w:cs="Times New Roman"/>
          <w:color w:val="000000"/>
          <w:szCs w:val="24"/>
          <w:lang w:eastAsia="de-DE"/>
        </w:rPr>
        <w:t>; Oberverwaltungsgericht für das Land Mecklenburg-Vorpommern, Urteil vom 30. Januar 2013 – 3 L 93/09 –, Hirt/Maisack/Moritz in TierSchG Kommentar, 3. Aufl., § 3, Rn. 22</w:t>
      </w:r>
      <w:r w:rsidRPr="004E3EF5">
        <w:rPr>
          <w:rFonts w:eastAsia="Times New Roman" w:cs="Times New Roman"/>
          <w:color w:val="000000"/>
          <w:szCs w:val="24"/>
          <w:lang w:eastAsia="de-DE"/>
        </w:rPr>
        <w:t xml:space="preserve">). </w:t>
      </w:r>
      <w:r w:rsidRPr="00C42E60">
        <w:rPr>
          <w:rFonts w:eastAsia="Times New Roman" w:cs="Times New Roman"/>
          <w:color w:val="000000"/>
          <w:szCs w:val="24"/>
          <w:lang w:eastAsia="de-DE"/>
        </w:rPr>
        <w:t>Nach § 3 S.1 Nr. 3 TierSchG ist es verboten, ein im Haus, Betrieb oder sonst in Obhut des Menschen gehaltenes Tier auszusetzen oder es zurückzulassen</w:t>
      </w:r>
      <w:r w:rsidRPr="004E3EF5">
        <w:rPr>
          <w:rFonts w:eastAsia="Times New Roman" w:cs="Times New Roman"/>
          <w:color w:val="000000"/>
          <w:szCs w:val="24"/>
          <w:lang w:eastAsia="de-DE"/>
        </w:rPr>
        <w:t>,</w:t>
      </w:r>
      <w:r w:rsidRPr="007178CE">
        <w:rPr>
          <w:rFonts w:eastAsia="Times New Roman" w:cs="Times New Roman"/>
          <w:color w:val="000000"/>
          <w:szCs w:val="24"/>
          <w:lang w:eastAsia="de-DE"/>
        </w:rPr>
        <w:t xml:space="preserve"> um sich seiner zu entledigen oder sich der Halter- oder Betreuerpflicht zu entziehen. Die Regelung ist Verbotsgesetz im Sinne des § 134 BGB, da sie das einseitige Rechtsgeschäft (Gursky/Wiegand, in: Staudinger, BGB &lt;Stand 8/2016&gt;, § 959 Rn. 1 m.w.N.) der Eigentumsaufgabe nach § 959 BGB bezogen auf Tiere verbietet. Eine Dereliktion, die zwangsläufig die Besitzaufgabe voraussetzt, ist folglich unwirksam.</w:t>
      </w:r>
    </w:p>
    <w:p w14:paraId="54A95875" w14:textId="77777777" w:rsidR="007178CE" w:rsidRPr="00FF39C9" w:rsidRDefault="007178CE" w:rsidP="007178CE">
      <w:pPr>
        <w:spacing w:line="240" w:lineRule="auto"/>
        <w:jc w:val="both"/>
        <w:rPr>
          <w:rFonts w:eastAsia="Times New Roman" w:cs="Times New Roman"/>
          <w:szCs w:val="24"/>
          <w:lang w:eastAsia="de-DE"/>
        </w:rPr>
      </w:pPr>
      <w:r w:rsidRPr="00C42E60">
        <w:rPr>
          <w:rFonts w:eastAsia="Times New Roman" w:cs="Times New Roman"/>
          <w:color w:val="000000"/>
          <w:szCs w:val="24"/>
          <w:lang w:eastAsia="de-DE"/>
        </w:rPr>
        <w:t>An den Stadttauben besteht mithin weiterhin das Eigentum ihrer ursprünglichen Halter</w:t>
      </w:r>
      <w:r w:rsidRPr="004E3EF5">
        <w:rPr>
          <w:rFonts w:eastAsia="Times New Roman" w:cs="Times New Roman"/>
          <w:color w:val="000000"/>
          <w:szCs w:val="24"/>
          <w:lang w:eastAsia="de-DE"/>
        </w:rPr>
        <w:t>.</w:t>
      </w:r>
    </w:p>
    <w:p w14:paraId="7FB36EB8" w14:textId="77777777" w:rsidR="007178CE" w:rsidRPr="00C42E60" w:rsidRDefault="007178CE" w:rsidP="007178CE">
      <w:pPr>
        <w:pStyle w:val="berschrift5"/>
        <w:rPr>
          <w:rFonts w:eastAsia="Times New Roman"/>
          <w:sz w:val="20"/>
          <w:szCs w:val="20"/>
          <w:lang w:eastAsia="de-DE"/>
        </w:rPr>
      </w:pPr>
      <w:r w:rsidRPr="00C42E60">
        <w:rPr>
          <w:rFonts w:eastAsia="Times New Roman"/>
          <w:lang w:eastAsia="de-DE"/>
        </w:rPr>
        <w:t>Abgabe der Fundtiere hier nicht erforderlich</w:t>
      </w:r>
    </w:p>
    <w:p w14:paraId="21AB9077" w14:textId="77777777" w:rsidR="007178CE" w:rsidRPr="00FF39C9" w:rsidRDefault="007178CE" w:rsidP="007178CE">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t xml:space="preserve">Zwar ist, neben dem Eigentum eines Dritten, für den Eintritt der Verpflichtung zur Versorgung eines Fundtieres grundsätzlich dessen Ablieferung bei der zuständigen Behörde nach § 967 BGB Voraussetzung. Jedoch kann diese in bestimmten Konstellationen dadurch ersetzt werden, dass die Behörde von den Fundtieren in Kenntnis gesetzt wird. </w:t>
      </w:r>
      <w:r w:rsidRPr="00C42E60">
        <w:rPr>
          <w:rFonts w:eastAsia="Times New Roman" w:cs="Times New Roman"/>
          <w:color w:val="000000"/>
          <w:szCs w:val="24"/>
          <w:lang w:eastAsia="de-DE"/>
        </w:rPr>
        <w:t>Die Ablieferungspflicht kann beispielsweise dann durch die Anzeige der Aufnahme eines Fundtieres ersetzt werden, wenn das Tier eine besondere Art der Verpflegung und Unterbringung bedarf, welche die Behörde nicht gewährleisten kann</w:t>
      </w:r>
      <w:r w:rsidRPr="004E3EF5">
        <w:rPr>
          <w:rFonts w:eastAsia="Times New Roman" w:cs="Times New Roman"/>
          <w:color w:val="000000"/>
          <w:szCs w:val="24"/>
          <w:lang w:eastAsia="de-DE"/>
        </w:rPr>
        <w:t xml:space="preserve"> (VG Stuttgart, Urteil vom 16. Dezember 2013 – 4 K 29/13 –; Verwaltungsgerichtshof Baden-Württemberg, </w:t>
      </w:r>
      <w:r w:rsidRPr="00FF39C9">
        <w:rPr>
          <w:rFonts w:eastAsia="Times New Roman" w:cs="Times New Roman"/>
          <w:color w:val="000000"/>
          <w:szCs w:val="24"/>
          <w:lang w:eastAsia="de-DE"/>
        </w:rPr>
        <w:t>Beschluss vom 27. März 2015 – 1 S 570/14 –).</w:t>
      </w:r>
    </w:p>
    <w:p w14:paraId="4DD1F661" w14:textId="77777777" w:rsidR="007178CE" w:rsidRPr="00FF39C9" w:rsidRDefault="007178CE" w:rsidP="007178CE">
      <w:pPr>
        <w:spacing w:line="240" w:lineRule="auto"/>
        <w:jc w:val="both"/>
        <w:rPr>
          <w:rFonts w:eastAsia="Times New Roman" w:cs="Times New Roman"/>
          <w:szCs w:val="24"/>
          <w:lang w:eastAsia="de-DE"/>
        </w:rPr>
      </w:pPr>
      <w:r w:rsidRPr="00FF39C9">
        <w:rPr>
          <w:rFonts w:eastAsia="Times New Roman" w:cs="Times New Roman"/>
          <w:color w:val="000000"/>
          <w:szCs w:val="24"/>
          <w:lang w:eastAsia="de-DE"/>
        </w:rPr>
        <w:t xml:space="preserve">Im vorliegenden Fall besteht diese Pflicht unabhängig von einer Ablieferung der Tauben aus zwei Gründen: Zum einen </w:t>
      </w:r>
      <w:r w:rsidRPr="00C42E60">
        <w:rPr>
          <w:rFonts w:eastAsia="Times New Roman" w:cs="Times New Roman"/>
          <w:color w:val="000000"/>
          <w:szCs w:val="24"/>
          <w:lang w:eastAsia="de-DE"/>
        </w:rPr>
        <w:t>muss realitätsnah davon ausgegangen werden, dass die zuständige Behörde eine artgerechte Unterbringung sämtlicher Stadttauben nicht gewährleisten könnte. Aus diesem Grund wäre eine Ablieferung bei der zuständigen Behörde zwecklos.</w:t>
      </w:r>
      <w:r w:rsidRPr="004E3EF5">
        <w:rPr>
          <w:rFonts w:eastAsia="Times New Roman" w:cs="Times New Roman"/>
          <w:color w:val="000000"/>
          <w:szCs w:val="24"/>
          <w:lang w:eastAsia="de-DE"/>
        </w:rPr>
        <w:t xml:space="preserve"> </w:t>
      </w:r>
      <w:r w:rsidRPr="00C42E60">
        <w:rPr>
          <w:rFonts w:eastAsia="Times New Roman" w:cs="Times New Roman"/>
          <w:color w:val="000000"/>
          <w:szCs w:val="24"/>
          <w:lang w:eastAsia="de-DE"/>
        </w:rPr>
        <w:t>Was jedoch von Vornherein keinen Erfolg verspricht, kann auch nicht einem Bürger abverlangt werden.</w:t>
      </w:r>
      <w:r w:rsidRPr="004E3EF5">
        <w:rPr>
          <w:rFonts w:eastAsia="Times New Roman" w:cs="Times New Roman"/>
          <w:color w:val="000000"/>
          <w:szCs w:val="24"/>
          <w:lang w:eastAsia="de-DE"/>
        </w:rPr>
        <w:t xml:space="preserve"> </w:t>
      </w:r>
      <w:r w:rsidRPr="00C42E60">
        <w:rPr>
          <w:rFonts w:eastAsia="Times New Roman" w:cs="Times New Roman"/>
          <w:color w:val="000000"/>
          <w:szCs w:val="24"/>
          <w:lang w:eastAsia="de-DE"/>
        </w:rPr>
        <w:t>Zum anderen ist Ihnen bzw. der zuständigen Behörde das Vorhandensein der Tiere in der Innenstadt bekannt.</w:t>
      </w:r>
      <w:r w:rsidRPr="004E3EF5">
        <w:rPr>
          <w:rFonts w:eastAsia="Times New Roman" w:cs="Times New Roman"/>
          <w:color w:val="000000"/>
          <w:szCs w:val="24"/>
          <w:lang w:eastAsia="de-DE"/>
        </w:rPr>
        <w:t xml:space="preserve"> Bereits seit vielen Jahren wissen Sie von dem Zustand, dass hunderte Fundtiere in der Stadt um ihr Überleben kämpfen. Anders als im Regelfall der Fundtierabgabe bedarf es </w:t>
      </w:r>
      <w:r w:rsidRPr="00FF39C9">
        <w:rPr>
          <w:rFonts w:eastAsia="Times New Roman" w:cs="Times New Roman"/>
          <w:color w:val="000000"/>
          <w:szCs w:val="24"/>
          <w:lang w:eastAsia="de-DE"/>
        </w:rPr>
        <w:t>mithin nicht der Übergabe durch den Finder, um die zuständige Behörde auf die Existenz der Fundtiere aufmerksam zu machen.</w:t>
      </w:r>
    </w:p>
    <w:p w14:paraId="0AE5B637" w14:textId="77777777" w:rsidR="007178CE" w:rsidRPr="00FF39C9" w:rsidRDefault="007178CE" w:rsidP="007178CE">
      <w:pPr>
        <w:spacing w:after="0" w:line="240" w:lineRule="auto"/>
        <w:rPr>
          <w:rFonts w:eastAsia="Times New Roman" w:cs="Times New Roman"/>
          <w:szCs w:val="24"/>
          <w:lang w:eastAsia="de-DE"/>
        </w:rPr>
      </w:pPr>
    </w:p>
    <w:p w14:paraId="298C20B1" w14:textId="77777777" w:rsidR="007178CE" w:rsidRPr="007178CE" w:rsidRDefault="007178CE" w:rsidP="007178CE">
      <w:pPr>
        <w:spacing w:line="240" w:lineRule="auto"/>
        <w:jc w:val="both"/>
        <w:rPr>
          <w:rFonts w:eastAsia="Times New Roman" w:cs="Times New Roman"/>
          <w:szCs w:val="24"/>
          <w:lang w:eastAsia="de-DE"/>
        </w:rPr>
      </w:pPr>
      <w:r w:rsidRPr="00C42E60">
        <w:rPr>
          <w:rFonts w:eastAsia="Times New Roman" w:cs="Times New Roman"/>
          <w:color w:val="000000"/>
          <w:szCs w:val="24"/>
          <w:lang w:eastAsia="de-DE"/>
        </w:rPr>
        <w:t>Vor diesem Hintergrund drängt sich ein Verstoß gegen Ihre Pflichten als Kommune durch den Erlass eines Fütterungsverbotes geradezu auf. Denn wer einerseits zur Verpflegung und sogar zur Verwahrung eines Tieres verpflichtet ist, kann nicht andererseits dessen Hungertod durch Erlass einer Rechtsnorm anordnen.</w:t>
      </w:r>
    </w:p>
    <w:p w14:paraId="7FCEEF6D" w14:textId="77777777" w:rsidR="007178CE" w:rsidRPr="007178CE" w:rsidRDefault="007178CE" w:rsidP="007178CE">
      <w:pPr>
        <w:pStyle w:val="berschrift4"/>
        <w:rPr>
          <w:szCs w:val="24"/>
        </w:rPr>
      </w:pPr>
      <w:bookmarkStart w:id="3" w:name="_Ref23865318"/>
      <w:r w:rsidRPr="007178CE">
        <w:t>Kein vernünftiger Grund zur Tötung</w:t>
      </w:r>
      <w:bookmarkEnd w:id="3"/>
    </w:p>
    <w:p w14:paraId="40C43397" w14:textId="77777777" w:rsidR="007178CE" w:rsidRPr="007178CE" w:rsidRDefault="007178CE" w:rsidP="007178CE">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t xml:space="preserve">Es liegt auch kein vernünftiger Grund im Sinne des § 1 S. 2 TierSchG zur Tötung der Tiere vor. Der vernünftige Grund ist eine Ausprägung des Verhältnismäßigkeitsgrundsatzes (BVerfGE 36, 47, 57), über den Interessenkonflikte zwischen Mensch und Tier ausgeglichen werden. </w:t>
      </w:r>
      <w:r w:rsidRPr="0088281E">
        <w:rPr>
          <w:rFonts w:eastAsia="Times New Roman" w:cs="Times New Roman"/>
          <w:color w:val="000000"/>
          <w:szCs w:val="24"/>
          <w:highlight w:val="lightGray"/>
          <w:lang w:eastAsia="de-DE"/>
        </w:rPr>
        <w:t xml:space="preserve">Ein </w:t>
      </w:r>
      <w:r w:rsidRPr="00C42E60">
        <w:rPr>
          <w:rFonts w:eastAsia="Times New Roman" w:cs="Times New Roman"/>
          <w:color w:val="000000"/>
          <w:szCs w:val="24"/>
          <w:lang w:eastAsia="de-DE"/>
        </w:rPr>
        <w:t xml:space="preserve">Grund ist dann als vernünftig anzusehen, wenn er triftig, einsichtig sowie von einem schutzwürdigen Interesse getragen ist und wenn er im konkreten Fall schwerer wiegt als das Interesse des Tieres an seiner Unversehrtheit </w:t>
      </w:r>
      <w:r w:rsidRPr="0088281E">
        <w:rPr>
          <w:rFonts w:eastAsia="Times New Roman" w:cs="Times New Roman"/>
          <w:color w:val="000000"/>
          <w:szCs w:val="24"/>
          <w:highlight w:val="lightGray"/>
          <w:lang w:eastAsia="de-DE"/>
        </w:rPr>
        <w:t>(</w:t>
      </w:r>
      <w:r w:rsidRPr="007178CE">
        <w:rPr>
          <w:rFonts w:eastAsia="Times New Roman" w:cs="Times New Roman"/>
          <w:color w:val="000000"/>
          <w:szCs w:val="24"/>
          <w:lang w:eastAsia="de-DE"/>
        </w:rPr>
        <w:t>KG Beschluss v. 24.07.2009, (4) 1 Ss 235/09; LG Magdeburg Urt. v. 6.12.2010,26 NS 120/10).</w:t>
      </w:r>
    </w:p>
    <w:p w14:paraId="41FBFF99" w14:textId="77777777" w:rsidR="007178CE" w:rsidRPr="007178CE" w:rsidRDefault="007178CE" w:rsidP="007178CE">
      <w:pPr>
        <w:spacing w:after="0" w:line="240" w:lineRule="auto"/>
        <w:rPr>
          <w:rFonts w:eastAsia="Times New Roman" w:cs="Times New Roman"/>
          <w:szCs w:val="24"/>
          <w:lang w:eastAsia="de-DE"/>
        </w:rPr>
      </w:pPr>
    </w:p>
    <w:p w14:paraId="7B895EF4" w14:textId="77777777" w:rsidR="007178CE" w:rsidRPr="007178CE" w:rsidRDefault="007178CE" w:rsidP="007178CE">
      <w:pPr>
        <w:pStyle w:val="berschrift5"/>
        <w:rPr>
          <w:rFonts w:eastAsia="Times New Roman"/>
          <w:sz w:val="20"/>
          <w:szCs w:val="20"/>
          <w:lang w:eastAsia="de-DE"/>
        </w:rPr>
      </w:pPr>
      <w:r w:rsidRPr="007178CE">
        <w:rPr>
          <w:rFonts w:eastAsia="Times New Roman"/>
          <w:lang w:eastAsia="de-DE"/>
        </w:rPr>
        <w:t>Schädlingsbekämpfung als vernünftiger Grund?</w:t>
      </w:r>
    </w:p>
    <w:p w14:paraId="600CB6B1" w14:textId="77777777" w:rsidR="007178CE" w:rsidRPr="007178CE" w:rsidRDefault="007178CE" w:rsidP="007178CE">
      <w:pPr>
        <w:spacing w:line="240" w:lineRule="auto"/>
        <w:jc w:val="both"/>
        <w:rPr>
          <w:rFonts w:eastAsia="Times New Roman" w:cs="Times New Roman"/>
          <w:szCs w:val="24"/>
          <w:lang w:eastAsia="de-DE"/>
        </w:rPr>
      </w:pPr>
      <w:r w:rsidRPr="00C42E60">
        <w:rPr>
          <w:rFonts w:eastAsia="Times New Roman" w:cs="Times New Roman"/>
          <w:color w:val="000000"/>
          <w:szCs w:val="24"/>
          <w:lang w:eastAsia="de-DE"/>
        </w:rPr>
        <w:t>Ein solcher Grund liegt nicht in der Schädlingsbekämpfung. Denn Tauben sind keine Schädlinge im Sinne des § 17 Abs. 2 i. V. m. Abs. 5 IfSG</w:t>
      </w:r>
      <w:r w:rsidRPr="004E3EF5">
        <w:rPr>
          <w:rFonts w:eastAsia="Times New Roman" w:cs="Times New Roman"/>
          <w:color w:val="000000"/>
          <w:szCs w:val="24"/>
          <w:lang w:eastAsia="de-DE"/>
        </w:rPr>
        <w:t>.</w:t>
      </w:r>
      <w:r w:rsidRPr="007178CE">
        <w:rPr>
          <w:rFonts w:eastAsia="Times New Roman" w:cs="Times New Roman"/>
          <w:color w:val="000000"/>
          <w:szCs w:val="24"/>
          <w:lang w:eastAsia="de-DE"/>
        </w:rPr>
        <w:t xml:space="preserve"> Eine Tötung kann mithin nicht zulässigerweise auf diesen Zweck gegründet werden. Hierfür wäre erforderlich, dass von den Tieren eine Gefahr für die Verbreitung von Krankheitserregern, d.h. solchen Erregern, die beim Menschen eine Infektion oder übertragbare Krankheit verursachen können, ausgeht. Dies ist jedoch nicht der Fall.</w:t>
      </w:r>
    </w:p>
    <w:p w14:paraId="62C98E79" w14:textId="77777777" w:rsidR="007178CE" w:rsidRPr="007178CE" w:rsidRDefault="007178CE" w:rsidP="007178CE">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t>Gefahr ist ein Zustand, dessen Fortentwicklung mit hinreichender Wahrscheinlichkeit zu einem erheblichen Schaden an bedeutenden Rechtsgütern führt (vgl. Hirt/Maisack/Moritz, TierSchG, § 17 Rn. 50), vgl. § 17 Abs. 2 IfSG. Ist eine Gefahr nicht gegeben, fehlt es schon an den Tatbestandsvoraussetzungen des § 17 Abs. 2 IfSG und damit an einer tauglichen Ermächtigungsgrundlage.</w:t>
      </w:r>
    </w:p>
    <w:p w14:paraId="696BA08E" w14:textId="77777777" w:rsidR="007178CE" w:rsidRPr="007178CE" w:rsidRDefault="007178CE" w:rsidP="007178CE">
      <w:pPr>
        <w:spacing w:after="0" w:line="240" w:lineRule="auto"/>
        <w:rPr>
          <w:rFonts w:eastAsia="Times New Roman" w:cs="Times New Roman"/>
          <w:szCs w:val="24"/>
          <w:lang w:eastAsia="de-DE"/>
        </w:rPr>
      </w:pPr>
    </w:p>
    <w:p w14:paraId="60FB574D" w14:textId="77777777" w:rsidR="007178CE" w:rsidRPr="00FF39C9" w:rsidRDefault="007178CE" w:rsidP="007178CE">
      <w:pPr>
        <w:spacing w:line="240" w:lineRule="auto"/>
        <w:jc w:val="both"/>
        <w:rPr>
          <w:rFonts w:eastAsia="Times New Roman" w:cs="Times New Roman"/>
          <w:szCs w:val="24"/>
          <w:lang w:eastAsia="de-DE"/>
        </w:rPr>
      </w:pPr>
      <w:r w:rsidRPr="00C42E60">
        <w:rPr>
          <w:rFonts w:eastAsia="Times New Roman" w:cs="Times New Roman"/>
          <w:color w:val="000000"/>
          <w:szCs w:val="24"/>
          <w:lang w:eastAsia="de-DE"/>
        </w:rPr>
        <w:t>Wissenschaftliche Erkenntnisse belegen, dass die von Stadttauben ausgehende gesundheitliche Gefährdung nicht größer ist als die durch Zier- und Wildvögel oder andere Tier</w:t>
      </w:r>
      <w:r w:rsidRPr="004E3EF5">
        <w:rPr>
          <w:rFonts w:eastAsia="Times New Roman" w:cs="Times New Roman"/>
          <w:color w:val="000000"/>
          <w:szCs w:val="24"/>
          <w:lang w:eastAsia="de-DE"/>
        </w:rPr>
        <w:t>e (Bundesgesundheitsamt, Merkblatt zum Problem der verwilderten Haustauben, Berlin 1994; Bundesinstitut für gesundheitlichen Verbraucherschutz und Veterinärmedizin, Stellungnahme vom 26.</w:t>
      </w:r>
      <w:r w:rsidRPr="00FF39C9">
        <w:rPr>
          <w:rFonts w:eastAsia="Times New Roman" w:cs="Times New Roman"/>
          <w:color w:val="000000"/>
          <w:szCs w:val="24"/>
          <w:lang w:eastAsia="de-DE"/>
        </w:rPr>
        <w:t xml:space="preserve">02.1998 sowie vom 20.07.2001; G. Glünder (1989), Infektionen der Tauben als Risiko für die Gesundheit von Mensch und Tier, Dtsch. tierärztl. Wschr. 96, 112-116; J. Kösters u.  R. Korbel (1997), Zur Problematik der freilebenden Stadttauben Dtsch. Tierärztl. Wschr. 104, 50-51; </w:t>
      </w:r>
      <w:r w:rsidRPr="00FF39C9">
        <w:t>Peter Havelka und Silvia Sabo, „</w:t>
      </w:r>
      <w:r w:rsidRPr="00FF39C9">
        <w:rPr>
          <w:i/>
        </w:rPr>
        <w:t>Mit Stadttauben leben</w:t>
      </w:r>
      <w:r w:rsidRPr="00FF39C9">
        <w:t xml:space="preserve">“, Arbeitsblätter zum Naturschutz 18, 1995, Landesanstalt für Umweltschutz Baden-Württemberg, </w:t>
      </w:r>
      <w:r w:rsidRPr="00FF39C9">
        <w:rPr>
          <w:rFonts w:eastAsia="Times New Roman" w:cs="Times New Roman"/>
          <w:color w:val="000000"/>
          <w:szCs w:val="24"/>
          <w:lang w:eastAsia="de-DE"/>
        </w:rPr>
        <w:t>S. 48).</w:t>
      </w:r>
    </w:p>
    <w:p w14:paraId="25511E82" w14:textId="77777777" w:rsidR="007178CE" w:rsidRPr="00FF39C9" w:rsidRDefault="007178CE" w:rsidP="007178CE">
      <w:pPr>
        <w:spacing w:line="240" w:lineRule="auto"/>
        <w:jc w:val="both"/>
        <w:rPr>
          <w:rFonts w:eastAsia="Times New Roman" w:cs="Times New Roman"/>
          <w:szCs w:val="24"/>
          <w:lang w:eastAsia="de-DE"/>
        </w:rPr>
      </w:pPr>
      <w:r w:rsidRPr="00FF39C9">
        <w:rPr>
          <w:rFonts w:eastAsia="Times New Roman" w:cs="Times New Roman"/>
          <w:color w:val="000000"/>
          <w:szCs w:val="24"/>
          <w:lang w:eastAsia="de-DE"/>
        </w:rPr>
        <w:t>So führte das Bundesinstitut für gesundheitlichen Verbraucherschutz und Veterinärmedizin schon im Jahr 1998 hierzu aus:</w:t>
      </w:r>
    </w:p>
    <w:p w14:paraId="340C2C88" w14:textId="77777777" w:rsidR="007178CE" w:rsidRPr="007178CE" w:rsidRDefault="007178CE" w:rsidP="007178CE">
      <w:pPr>
        <w:spacing w:line="240" w:lineRule="auto"/>
        <w:ind w:right="423"/>
        <w:jc w:val="both"/>
        <w:rPr>
          <w:rFonts w:eastAsia="Times New Roman" w:cs="Times New Roman"/>
          <w:szCs w:val="24"/>
          <w:lang w:eastAsia="de-DE"/>
        </w:rPr>
      </w:pPr>
      <w:r w:rsidRPr="00FF39C9">
        <w:rPr>
          <w:rFonts w:eastAsia="Times New Roman" w:cs="Times New Roman"/>
          <w:i/>
          <w:iCs/>
          <w:color w:val="000000"/>
          <w:szCs w:val="24"/>
          <w:lang w:eastAsia="de-DE"/>
        </w:rPr>
        <w:t xml:space="preserve">„Zwar ist eine Übertragung von Krankheitserregern durch freilebende Tauben auf den Menschen prinzipiell möglich, dies gilt jedoch in gleichem Maß für andere in Städten lebende Wildvogelarten wie Enten, Schwäne, Sperlinge, Amseln und Meisen, aber auch für Säugetierarten wie Eichhörnchen oder Marder. </w:t>
      </w:r>
      <w:r w:rsidRPr="00C42E60">
        <w:rPr>
          <w:rFonts w:eastAsia="Times New Roman" w:cs="Times New Roman"/>
          <w:b/>
          <w:bCs/>
          <w:i/>
          <w:iCs/>
          <w:color w:val="000000"/>
          <w:szCs w:val="24"/>
          <w:lang w:eastAsia="de-DE"/>
        </w:rPr>
        <w:t>Es wäre absurd, alle in der Umgebung des Menschen lebende und hierdurch zwangsläufig auch mit dessen Krankheitserregern in Berührung kommende Tierarten allein aus diesem Grund als Gesundheitsschädlinge einzustufen.</w:t>
      </w:r>
      <w:r w:rsidRPr="00C42E60">
        <w:rPr>
          <w:rFonts w:eastAsia="Times New Roman" w:cs="Times New Roman"/>
          <w:i/>
          <w:iCs/>
          <w:color w:val="000000"/>
          <w:szCs w:val="24"/>
          <w:lang w:eastAsia="de-DE"/>
        </w:rPr>
        <w:t>“</w:t>
      </w:r>
    </w:p>
    <w:p w14:paraId="521525F0" w14:textId="77777777" w:rsidR="007178CE" w:rsidRPr="007178CE" w:rsidRDefault="007178CE" w:rsidP="007178CE">
      <w:pPr>
        <w:spacing w:line="240" w:lineRule="auto"/>
        <w:ind w:right="423"/>
        <w:jc w:val="both"/>
        <w:rPr>
          <w:rFonts w:eastAsia="Times New Roman" w:cs="Times New Roman"/>
          <w:szCs w:val="24"/>
          <w:lang w:eastAsia="de-DE"/>
        </w:rPr>
      </w:pPr>
      <w:r w:rsidRPr="007178CE">
        <w:rPr>
          <w:rFonts w:eastAsia="Times New Roman" w:cs="Times New Roman"/>
          <w:color w:val="000000"/>
          <w:szCs w:val="24"/>
          <w:lang w:eastAsia="de-DE"/>
        </w:rPr>
        <w:t xml:space="preserve">(Bundesinstitut für gesundheitlichen Verbraucherschutz und Veterinärmedizin, Stellungnahme vom 26.02.1998, abrufbar unter: </w:t>
      </w:r>
      <w:hyperlink r:id="rId8" w:history="1">
        <w:r w:rsidRPr="007178CE">
          <w:rPr>
            <w:rFonts w:eastAsia="Times New Roman" w:cs="Times New Roman"/>
            <w:color w:val="0563C1"/>
            <w:szCs w:val="24"/>
            <w:u w:val="single"/>
            <w:lang w:eastAsia="de-DE"/>
          </w:rPr>
          <w:t>https://www.bfr.bund.de/cm/343/schaedlingseigenschaft_von_verwilderten_haustauben.pdf</w:t>
        </w:r>
      </w:hyperlink>
      <w:r w:rsidRPr="007178CE">
        <w:rPr>
          <w:rFonts w:eastAsia="Times New Roman" w:cs="Times New Roman"/>
          <w:color w:val="000000"/>
          <w:szCs w:val="24"/>
          <w:lang w:eastAsia="de-DE"/>
        </w:rPr>
        <w:t>, Herv. d. d. Verf.)</w:t>
      </w:r>
    </w:p>
    <w:p w14:paraId="105D3B70" w14:textId="71258625" w:rsidR="007178CE" w:rsidRPr="00E203A6" w:rsidRDefault="007178CE" w:rsidP="007178CE">
      <w:pPr>
        <w:spacing w:line="240" w:lineRule="auto"/>
        <w:ind w:right="423"/>
        <w:jc w:val="both"/>
        <w:rPr>
          <w:rFonts w:eastAsia="Times New Roman" w:cs="Times New Roman"/>
          <w:i/>
          <w:color w:val="000000"/>
          <w:szCs w:val="24"/>
          <w:lang w:eastAsia="de-DE"/>
        </w:rPr>
      </w:pPr>
      <w:r w:rsidRPr="00C42E60">
        <w:rPr>
          <w:rFonts w:eastAsia="Times New Roman" w:cs="Times New Roman"/>
          <w:color w:val="000000"/>
          <w:szCs w:val="24"/>
          <w:lang w:eastAsia="de-DE"/>
        </w:rPr>
        <w:t>Ebenso ist belegt, dass die Ansteckungsgefahr mit Krankheiten durch Stadttauben bei gewöhnlichem Kontakt mit dem Tier sehr gering ist</w:t>
      </w:r>
      <w:r w:rsidRPr="007178CE">
        <w:rPr>
          <w:rFonts w:eastAsia="Times New Roman" w:cs="Times New Roman"/>
          <w:color w:val="000000"/>
          <w:szCs w:val="24"/>
          <w:lang w:eastAsia="de-DE"/>
        </w:rPr>
        <w:t xml:space="preserve"> (vgl.</w:t>
      </w:r>
      <w:r w:rsidR="00E203A6">
        <w:rPr>
          <w:rFonts w:eastAsia="Times New Roman" w:cs="Times New Roman"/>
          <w:color w:val="000000"/>
          <w:szCs w:val="24"/>
          <w:lang w:eastAsia="de-DE"/>
        </w:rPr>
        <w:t xml:space="preserve"> </w:t>
      </w:r>
      <w:r w:rsidR="00E203A6" w:rsidRPr="007178CE">
        <w:rPr>
          <w:rFonts w:eastAsia="Times New Roman" w:cs="Times New Roman"/>
          <w:color w:val="000000"/>
          <w:szCs w:val="24"/>
          <w:lang w:eastAsia="de-DE"/>
        </w:rPr>
        <w:t>Dr. Mirja Kneidl-Fenske, Michaela Dämmrich, Landesbeauftragte für den</w:t>
      </w:r>
      <w:r w:rsidR="00E203A6">
        <w:rPr>
          <w:rFonts w:eastAsia="Times New Roman" w:cs="Times New Roman"/>
          <w:color w:val="000000"/>
          <w:szCs w:val="24"/>
          <w:lang w:eastAsia="de-DE"/>
        </w:rPr>
        <w:t xml:space="preserve"> Tierschutz in Niedersachsen, 25. Januar </w:t>
      </w:r>
      <w:r w:rsidR="00E203A6" w:rsidRPr="007178CE">
        <w:rPr>
          <w:rFonts w:eastAsia="Times New Roman" w:cs="Times New Roman"/>
          <w:color w:val="000000"/>
          <w:szCs w:val="24"/>
          <w:lang w:eastAsia="de-DE"/>
        </w:rPr>
        <w:t>2018</w:t>
      </w:r>
      <w:r w:rsidR="00E203A6">
        <w:rPr>
          <w:rFonts w:eastAsia="Times New Roman" w:cs="Times New Roman"/>
          <w:color w:val="000000"/>
          <w:szCs w:val="24"/>
          <w:lang w:eastAsia="de-DE"/>
        </w:rPr>
        <w:t xml:space="preserve">: </w:t>
      </w:r>
      <w:r w:rsidR="00E203A6" w:rsidRPr="00E203A6">
        <w:rPr>
          <w:rFonts w:eastAsia="Times New Roman" w:cs="Times New Roman"/>
          <w:i/>
          <w:color w:val="000000"/>
          <w:szCs w:val="24"/>
          <w:lang w:eastAsia="de-DE"/>
        </w:rPr>
        <w:t>„Übertragen Stadttauben Krankheiten und Parasiten?“</w:t>
      </w:r>
      <w:r w:rsidR="00E203A6">
        <w:rPr>
          <w:rFonts w:eastAsia="Times New Roman" w:cs="Times New Roman"/>
          <w:i/>
          <w:color w:val="000000"/>
          <w:szCs w:val="24"/>
          <w:lang w:eastAsia="de-DE"/>
        </w:rPr>
        <w:t>;</w:t>
      </w:r>
      <w:r w:rsidRPr="007178CE">
        <w:rPr>
          <w:rFonts w:eastAsia="Times New Roman" w:cs="Times New Roman"/>
          <w:color w:val="000000"/>
          <w:szCs w:val="24"/>
          <w:lang w:eastAsia="de-DE"/>
        </w:rPr>
        <w:t xml:space="preserve"> Dr. Ludger Kamphausen, Leiter der Taubenklinik Essen, zitiert in Deutsches Tierärzteblatt 8/2008; Prof. Peter Havelka, Taschenbuch für Vogelschutz: </w:t>
      </w:r>
      <w:r w:rsidR="003322D4">
        <w:rPr>
          <w:rFonts w:eastAsia="Times New Roman" w:cs="Times New Roman"/>
          <w:color w:val="000000"/>
          <w:szCs w:val="24"/>
          <w:lang w:eastAsia="de-DE"/>
        </w:rPr>
        <w:t>„</w:t>
      </w:r>
      <w:r w:rsidRPr="007178CE">
        <w:rPr>
          <w:rFonts w:eastAsia="Times New Roman" w:cs="Times New Roman"/>
          <w:i/>
          <w:color w:val="000000"/>
          <w:szCs w:val="24"/>
          <w:lang w:eastAsia="de-DE"/>
        </w:rPr>
        <w:t>Wenn Vögel zu Problemen werden</w:t>
      </w:r>
      <w:r w:rsidR="003322D4">
        <w:rPr>
          <w:rFonts w:eastAsia="Times New Roman" w:cs="Times New Roman"/>
          <w:color w:val="000000"/>
          <w:szCs w:val="24"/>
          <w:lang w:eastAsia="de-DE"/>
        </w:rPr>
        <w:t>“</w:t>
      </w:r>
      <w:r w:rsidRPr="007178CE">
        <w:rPr>
          <w:rFonts w:eastAsia="Times New Roman" w:cs="Times New Roman"/>
          <w:color w:val="000000"/>
          <w:szCs w:val="24"/>
          <w:lang w:eastAsia="de-DE"/>
        </w:rPr>
        <w:t xml:space="preserve">, S. 473; J. Dimigen (1986), </w:t>
      </w:r>
      <w:r w:rsidR="003322D4">
        <w:rPr>
          <w:rFonts w:eastAsia="Times New Roman" w:cs="Times New Roman"/>
          <w:color w:val="000000"/>
          <w:szCs w:val="24"/>
          <w:lang w:eastAsia="de-DE"/>
        </w:rPr>
        <w:t>„</w:t>
      </w:r>
      <w:r w:rsidRPr="007178CE">
        <w:rPr>
          <w:rFonts w:eastAsia="Times New Roman" w:cs="Times New Roman"/>
          <w:i/>
          <w:color w:val="000000"/>
          <w:szCs w:val="24"/>
          <w:lang w:eastAsia="de-DE"/>
        </w:rPr>
        <w:t>Tierschutzgerechte Regulierung verwilderter Stadttauben</w:t>
      </w:r>
      <w:r w:rsidR="003322D4" w:rsidRPr="003322D4">
        <w:rPr>
          <w:rFonts w:eastAsia="Times New Roman" w:cs="Times New Roman"/>
          <w:i/>
          <w:color w:val="000000"/>
          <w:szCs w:val="24"/>
          <w:lang w:eastAsia="de-DE"/>
        </w:rPr>
        <w:t>“</w:t>
      </w:r>
      <w:r w:rsidRPr="007178CE">
        <w:rPr>
          <w:rFonts w:eastAsia="Times New Roman" w:cs="Times New Roman"/>
          <w:i/>
          <w:color w:val="000000"/>
          <w:szCs w:val="24"/>
          <w:lang w:eastAsia="de-DE"/>
        </w:rPr>
        <w:t>;</w:t>
      </w:r>
      <w:r w:rsidRPr="007178CE">
        <w:rPr>
          <w:rFonts w:eastAsia="Times New Roman" w:cs="Times New Roman"/>
          <w:color w:val="000000"/>
          <w:szCs w:val="24"/>
          <w:lang w:eastAsia="de-DE"/>
        </w:rPr>
        <w:t xml:space="preserve"> Dtsch. Tierärztl. Wschr. 93, 492-495; </w:t>
      </w:r>
      <w:r w:rsidRPr="005A307F">
        <w:t xml:space="preserve">Peter Havelka und Silvia Sabo, </w:t>
      </w:r>
      <w:r>
        <w:t>„</w:t>
      </w:r>
      <w:r w:rsidRPr="007178CE">
        <w:rPr>
          <w:i/>
        </w:rPr>
        <w:t>Mit Stadttauben leben</w:t>
      </w:r>
      <w:r>
        <w:t>“</w:t>
      </w:r>
      <w:r w:rsidRPr="005A307F">
        <w:t>,</w:t>
      </w:r>
      <w:r w:rsidRPr="007178CE">
        <w:t xml:space="preserve"> </w:t>
      </w:r>
      <w:r>
        <w:t xml:space="preserve">Arbeitsblätter zum Naturschutz 18, 1995, </w:t>
      </w:r>
      <w:r w:rsidRPr="007178CE">
        <w:t>Landesanstalt für Umweltschutz Baden-Württemberg</w:t>
      </w:r>
      <w:r>
        <w:t>,</w:t>
      </w:r>
      <w:r w:rsidRPr="007178CE">
        <w:rPr>
          <w:rFonts w:eastAsia="Times New Roman" w:cs="Times New Roman"/>
          <w:color w:val="000000"/>
          <w:szCs w:val="24"/>
          <w:lang w:eastAsia="de-DE"/>
        </w:rPr>
        <w:t xml:space="preserve"> S. 48; vgl. VGH Mannheim, Urteil vom 27. 9. 2005 - 1 S 261/05).</w:t>
      </w:r>
    </w:p>
    <w:p w14:paraId="63BDE398" w14:textId="77777777" w:rsidR="007178CE" w:rsidRPr="007178CE" w:rsidRDefault="007178CE" w:rsidP="007178CE">
      <w:pPr>
        <w:spacing w:line="240" w:lineRule="auto"/>
        <w:ind w:right="423"/>
        <w:jc w:val="both"/>
        <w:rPr>
          <w:rFonts w:eastAsia="Times New Roman" w:cs="Times New Roman"/>
          <w:szCs w:val="24"/>
          <w:lang w:eastAsia="de-DE"/>
        </w:rPr>
      </w:pPr>
      <w:r w:rsidRPr="00C42E60">
        <w:rPr>
          <w:rFonts w:eastAsia="Times New Roman" w:cs="Times New Roman"/>
          <w:color w:val="000000"/>
          <w:szCs w:val="24"/>
          <w:lang w:eastAsia="de-DE"/>
        </w:rPr>
        <w:lastRenderedPageBreak/>
        <w:t xml:space="preserve">Auch genügte eine angenommene </w:t>
      </w:r>
      <w:r w:rsidRPr="00C42E60">
        <w:rPr>
          <w:rFonts w:eastAsia="Times New Roman" w:cs="Times New Roman"/>
          <w:i/>
          <w:iCs/>
          <w:color w:val="000000"/>
          <w:szCs w:val="24"/>
          <w:lang w:eastAsia="de-DE"/>
        </w:rPr>
        <w:t>Möglichkeit</w:t>
      </w:r>
      <w:r w:rsidRPr="00C42E60">
        <w:rPr>
          <w:rFonts w:eastAsia="Times New Roman" w:cs="Times New Roman"/>
          <w:color w:val="000000"/>
          <w:szCs w:val="24"/>
          <w:lang w:eastAsia="de-DE"/>
        </w:rPr>
        <w:t xml:space="preserve"> der Krankheitsübertragung nicht zum Erlass einer Maßnahme nach § 17 Abs. 2 IfSG. Denn es bedarf einer Gefahr, mithin einer </w:t>
      </w:r>
      <w:r w:rsidRPr="00C42E60">
        <w:rPr>
          <w:rFonts w:eastAsia="Times New Roman" w:cs="Times New Roman"/>
          <w:i/>
          <w:iCs/>
          <w:color w:val="000000"/>
          <w:szCs w:val="24"/>
          <w:lang w:eastAsia="de-DE"/>
        </w:rPr>
        <w:t>hinreichenden Wahrscheinlichkeit</w:t>
      </w:r>
      <w:r w:rsidRPr="00C42E60">
        <w:rPr>
          <w:rFonts w:eastAsia="Times New Roman" w:cs="Times New Roman"/>
          <w:color w:val="000000"/>
          <w:szCs w:val="24"/>
          <w:lang w:eastAsia="de-DE"/>
        </w:rPr>
        <w:t xml:space="preserve"> des Schadenseintritts, hier in Gestalt der Krankheitsübertragung. Diese ist nicht gegeben.</w:t>
      </w:r>
    </w:p>
    <w:p w14:paraId="06D128FF" w14:textId="77777777" w:rsidR="007178CE" w:rsidRPr="007178CE" w:rsidRDefault="007178CE" w:rsidP="007178CE">
      <w:pPr>
        <w:pStyle w:val="berschrift5"/>
        <w:rPr>
          <w:rFonts w:eastAsia="Times New Roman"/>
          <w:sz w:val="20"/>
          <w:szCs w:val="20"/>
          <w:lang w:eastAsia="de-DE"/>
        </w:rPr>
      </w:pPr>
      <w:r w:rsidRPr="007178CE">
        <w:rPr>
          <w:rFonts w:eastAsia="Times New Roman"/>
          <w:lang w:eastAsia="de-DE"/>
        </w:rPr>
        <w:t>Verunreinigunsbekämpfung als vernünftiger Grund?</w:t>
      </w:r>
    </w:p>
    <w:p w14:paraId="211E6BE5" w14:textId="77777777" w:rsidR="007178CE" w:rsidRPr="00FF39C9" w:rsidRDefault="007178CE" w:rsidP="007178CE">
      <w:pPr>
        <w:spacing w:line="240" w:lineRule="auto"/>
        <w:ind w:right="423"/>
        <w:jc w:val="both"/>
        <w:rPr>
          <w:rFonts w:eastAsia="Times New Roman" w:cs="Times New Roman"/>
          <w:szCs w:val="24"/>
          <w:lang w:eastAsia="de-DE"/>
        </w:rPr>
      </w:pPr>
      <w:r w:rsidRPr="00C42E60">
        <w:rPr>
          <w:rFonts w:eastAsia="Times New Roman" w:cs="Times New Roman"/>
          <w:color w:val="000000"/>
          <w:szCs w:val="24"/>
          <w:lang w:eastAsia="de-DE"/>
        </w:rPr>
        <w:t>Auch eine Bekämpfung von durch Taubenkot verursachter Verunreinigungen scheidet als vernünftiger Grund aus. Denn die Vermeidung der – größtenteils nicht substanzverletzenden – Verunreinigungen ist nicht ausreichend, um im konkreten Fall schwerer zu wiegen als das Interesse des Tieres an seiner Unversehrtheit</w:t>
      </w:r>
      <w:r w:rsidRPr="004E3EF5">
        <w:rPr>
          <w:rFonts w:eastAsia="Times New Roman" w:cs="Times New Roman"/>
          <w:color w:val="000000"/>
          <w:szCs w:val="24"/>
          <w:lang w:eastAsia="de-DE"/>
        </w:rPr>
        <w:t xml:space="preserve">. </w:t>
      </w:r>
      <w:r w:rsidRPr="00C42E60">
        <w:rPr>
          <w:rFonts w:eastAsia="Times New Roman" w:cs="Times New Roman"/>
          <w:color w:val="000000"/>
          <w:szCs w:val="24"/>
          <w:lang w:eastAsia="de-DE"/>
        </w:rPr>
        <w:t>Denn neben dem Vorliegen eines nachvollziehbaren, billigenswerten Zwecks muss die jeweilige Maßnahme auch geeignet, erforderlich und angemessen sein, um als vernünftiger Grund im Sinne des § 1 S. 2 TierSchG zu gelten</w:t>
      </w:r>
      <w:r w:rsidRPr="004E3EF5">
        <w:rPr>
          <w:rFonts w:eastAsia="Times New Roman" w:cs="Times New Roman"/>
          <w:color w:val="000000"/>
          <w:szCs w:val="24"/>
          <w:lang w:eastAsia="de-DE"/>
        </w:rPr>
        <w:t xml:space="preserve"> (BVerfGE 36, 47, 57; 48, 376, 389).</w:t>
      </w:r>
    </w:p>
    <w:p w14:paraId="271DFEF1" w14:textId="77777777" w:rsidR="007178CE" w:rsidRPr="00C42E60" w:rsidRDefault="007178CE" w:rsidP="007178CE">
      <w:pPr>
        <w:spacing w:line="240" w:lineRule="auto"/>
        <w:ind w:right="423"/>
        <w:jc w:val="both"/>
        <w:rPr>
          <w:rFonts w:eastAsia="Times New Roman" w:cs="Times New Roman"/>
          <w:szCs w:val="24"/>
          <w:lang w:eastAsia="de-DE"/>
        </w:rPr>
      </w:pPr>
      <w:r w:rsidRPr="00C42E60">
        <w:rPr>
          <w:rFonts w:eastAsia="Times New Roman" w:cs="Times New Roman"/>
          <w:color w:val="000000"/>
          <w:szCs w:val="24"/>
          <w:lang w:eastAsia="de-DE"/>
        </w:rPr>
        <w:t>Vorliegend fehlt es schon an der Geeignetheit des Fütterungsverbots. Denn um die Verunreinigung oder Beschädigung von Gebäuden durch Taubenkot für die Zukunft zu verhindern, müssten die Tauben durch das Fütterungsverbot entweder ganz vertrieben oder aber ausgerottet werden.</w:t>
      </w:r>
    </w:p>
    <w:p w14:paraId="0F47277D" w14:textId="5BA4E4D2" w:rsidR="00FF39C9" w:rsidRDefault="007178CE" w:rsidP="007178CE">
      <w:pPr>
        <w:spacing w:line="240" w:lineRule="auto"/>
        <w:ind w:right="423"/>
        <w:jc w:val="both"/>
        <w:rPr>
          <w:rFonts w:eastAsia="Times New Roman" w:cs="Times New Roman"/>
          <w:color w:val="000000"/>
          <w:szCs w:val="24"/>
          <w:lang w:eastAsia="de-DE"/>
        </w:rPr>
      </w:pPr>
      <w:r w:rsidRPr="00C42E60">
        <w:rPr>
          <w:rFonts w:eastAsia="Times New Roman" w:cs="Times New Roman"/>
          <w:color w:val="000000"/>
          <w:szCs w:val="24"/>
          <w:lang w:eastAsia="de-DE"/>
        </w:rPr>
        <w:t>Beides ist nicht der Fall. Aufgrund der angezüchteten Standorttreue der Tiere bewegen sich diese – auch bei Futtermangel – höchstens einige hundert Meter von ihrem Wohnort weg</w:t>
      </w:r>
      <w:r w:rsidRPr="004E3EF5">
        <w:rPr>
          <w:rFonts w:eastAsia="Times New Roman" w:cs="Times New Roman"/>
          <w:color w:val="000000"/>
          <w:szCs w:val="24"/>
          <w:lang w:eastAsia="de-DE"/>
        </w:rPr>
        <w:t xml:space="preserve"> und kehren nach der Futtersuche stets zurück. </w:t>
      </w:r>
      <w:r w:rsidR="00831AF8">
        <w:rPr>
          <w:rFonts w:eastAsia="Times New Roman" w:cs="Times New Roman"/>
          <w:color w:val="000000"/>
          <w:szCs w:val="24"/>
          <w:lang w:eastAsia="de-DE"/>
        </w:rPr>
        <w:t>Weiterhin ist d</w:t>
      </w:r>
      <w:r w:rsidRPr="004E3EF5">
        <w:rPr>
          <w:rFonts w:eastAsia="Times New Roman" w:cs="Times New Roman"/>
          <w:color w:val="000000"/>
          <w:szCs w:val="24"/>
          <w:lang w:eastAsia="de-DE"/>
        </w:rPr>
        <w:t xml:space="preserve">ie Brutaktivität </w:t>
      </w:r>
      <w:r w:rsidRPr="00FF39C9">
        <w:rPr>
          <w:rFonts w:eastAsia="Times New Roman" w:cs="Times New Roman"/>
          <w:color w:val="000000"/>
          <w:szCs w:val="24"/>
          <w:lang w:eastAsia="de-DE"/>
        </w:rPr>
        <w:t>nicht wie bei Wildtieren in erster Linie vom Nahrungsangebot abhängig, da nachweislich auch hungernde Tauben brüten. Der Grund dafür liegt in der genetischen Veränderung durch Zuchtwahl, die auf hohe Nachkommenschaft unabhängig vom wirtschaftlichen Aufwand (Ausgaben für Futtermittel) abzielte (Pressemitteilung Ministerium für Ländlichen Raum und Verbrauchersch</w:t>
      </w:r>
      <w:r w:rsidR="0090162E" w:rsidRPr="00FF39C9">
        <w:rPr>
          <w:rFonts w:eastAsia="Times New Roman" w:cs="Times New Roman"/>
          <w:color w:val="000000"/>
          <w:szCs w:val="24"/>
          <w:lang w:eastAsia="de-DE"/>
        </w:rPr>
        <w:t xml:space="preserve">utz Baden-Württemberg, vom 27. März </w:t>
      </w:r>
      <w:r w:rsidRPr="00FF39C9">
        <w:rPr>
          <w:rFonts w:eastAsia="Times New Roman" w:cs="Times New Roman"/>
          <w:color w:val="000000"/>
          <w:szCs w:val="24"/>
          <w:lang w:eastAsia="de-DE"/>
        </w:rPr>
        <w:t xml:space="preserve">2006, </w:t>
      </w:r>
      <w:r w:rsidR="0090162E" w:rsidRPr="00FF39C9">
        <w:rPr>
          <w:rFonts w:eastAsia="Times New Roman" w:cs="Times New Roman"/>
          <w:color w:val="000000"/>
          <w:szCs w:val="24"/>
          <w:lang w:eastAsia="de-DE"/>
        </w:rPr>
        <w:t>„</w:t>
      </w:r>
      <w:r w:rsidRPr="00FF39C9">
        <w:rPr>
          <w:rFonts w:eastAsia="Times New Roman" w:cs="Times New Roman"/>
          <w:i/>
          <w:color w:val="000000"/>
          <w:szCs w:val="24"/>
          <w:lang w:eastAsia="de-DE"/>
        </w:rPr>
        <w:t>Landesbeirat für Tierschutz ruft Tierhalter zur Besonnenheit auf</w:t>
      </w:r>
      <w:r w:rsidR="0090162E" w:rsidRPr="00FF39C9">
        <w:rPr>
          <w:rFonts w:eastAsia="Times New Roman" w:cs="Times New Roman"/>
          <w:color w:val="000000"/>
          <w:szCs w:val="24"/>
          <w:lang w:eastAsia="de-DE"/>
        </w:rPr>
        <w:t>“</w:t>
      </w:r>
      <w:r w:rsidRPr="00FF39C9">
        <w:rPr>
          <w:rFonts w:eastAsia="Times New Roman" w:cs="Times New Roman"/>
          <w:color w:val="000000"/>
          <w:szCs w:val="24"/>
          <w:lang w:eastAsia="de-DE"/>
        </w:rPr>
        <w:t xml:space="preserve">, abzurufen unter: </w:t>
      </w:r>
      <w:hyperlink r:id="rId9" w:history="1">
        <w:r w:rsidRPr="00FF39C9">
          <w:rPr>
            <w:rFonts w:eastAsia="Times New Roman" w:cs="Times New Roman"/>
            <w:color w:val="000000"/>
            <w:szCs w:val="24"/>
            <w:lang w:eastAsia="de-DE"/>
          </w:rPr>
          <w:t>https://mlr.baden-wuerttemberg.de/de/unser-service/presse-und-oeffentlichkeitsarbeit/pressemitteilung/pid/landesbeirat-fuer-tierschutz-ruft-tierhalter-zur-besonnenheit-auf-1/</w:t>
        </w:r>
      </w:hyperlink>
      <w:r w:rsidRPr="004E3EF5">
        <w:rPr>
          <w:rFonts w:eastAsia="Times New Roman" w:cs="Times New Roman"/>
          <w:color w:val="000000"/>
          <w:szCs w:val="24"/>
          <w:lang w:eastAsia="de-DE"/>
        </w:rPr>
        <w:t>; Bundesarbeitsgruppe (BAG) Stadttauben bei „Menschen für Tierrechte - Bundesverband der Tierversuchsgegner“ e.V., Konzept zur tierschutzgerechten Regulierung der Stadttaubenpopulation, S.3; Stephanie Elsner, Deutsches Tierärzte</w:t>
      </w:r>
      <w:r w:rsidRPr="00FF39C9">
        <w:rPr>
          <w:rFonts w:eastAsia="Times New Roman" w:cs="Times New Roman"/>
          <w:color w:val="000000"/>
          <w:szCs w:val="24"/>
          <w:lang w:eastAsia="de-DE"/>
        </w:rPr>
        <w:t>blatt, 08/2008, S. 1042).</w:t>
      </w:r>
      <w:r w:rsidR="00831AF8">
        <w:rPr>
          <w:rFonts w:eastAsia="Times New Roman" w:cs="Times New Roman"/>
          <w:color w:val="000000"/>
          <w:szCs w:val="24"/>
          <w:lang w:eastAsia="de-DE"/>
        </w:rPr>
        <w:t xml:space="preserve"> </w:t>
      </w:r>
    </w:p>
    <w:p w14:paraId="1D151D57" w14:textId="417F1527" w:rsidR="007178CE" w:rsidRDefault="007178CE" w:rsidP="007178CE">
      <w:pPr>
        <w:spacing w:line="240" w:lineRule="auto"/>
        <w:ind w:right="423"/>
        <w:jc w:val="both"/>
        <w:rPr>
          <w:rFonts w:eastAsia="Times New Roman" w:cs="Times New Roman"/>
          <w:color w:val="000000"/>
          <w:szCs w:val="24"/>
          <w:lang w:eastAsia="de-DE"/>
        </w:rPr>
      </w:pPr>
      <w:r w:rsidRPr="00FF39C9">
        <w:rPr>
          <w:rFonts w:eastAsia="Times New Roman" w:cs="Times New Roman"/>
          <w:color w:val="000000"/>
          <w:szCs w:val="24"/>
          <w:lang w:eastAsia="de-DE"/>
        </w:rPr>
        <w:t>Eine entsprechende Erfahrung machten viele deutsche Städte. Aus diesem Grunde haben sich unter anderem Aachen, Augsburg, Erlangen, Esslingen, Saarbrücken oder Frankfurt am Main zu einem anderen – wie die Praxis zeigt – Bestandsmin</w:t>
      </w:r>
      <w:r w:rsidRPr="004E3EF5">
        <w:rPr>
          <w:rFonts w:eastAsia="Times New Roman" w:cs="Times New Roman"/>
          <w:color w:val="000000"/>
          <w:szCs w:val="24"/>
          <w:lang w:eastAsia="de-DE"/>
        </w:rPr>
        <w:t xml:space="preserve">imierungskonzept entschlossen: Kontrolle der Reproduktionsrate durch Taubenschläge, in denen die Taubeneier manuell durch Attrappen ausgetauscht werden. </w:t>
      </w:r>
      <w:r w:rsidRPr="00C42E60">
        <w:rPr>
          <w:rFonts w:eastAsia="Times New Roman" w:cs="Times New Roman"/>
          <w:color w:val="000000"/>
          <w:szCs w:val="24"/>
          <w:lang w:eastAsia="de-DE"/>
        </w:rPr>
        <w:t>Durch regelmäßigen Austausch der Eier durch Gips- oder Kunststoffattrappen kann dabei die Nachkommensrate um bis zu 100 % gesenkt werden</w:t>
      </w:r>
      <w:r w:rsidRPr="004E3EF5">
        <w:rPr>
          <w:rFonts w:eastAsia="Times New Roman" w:cs="Times New Roman"/>
          <w:color w:val="000000"/>
          <w:szCs w:val="24"/>
          <w:lang w:eastAsia="de-DE"/>
        </w:rPr>
        <w:t xml:space="preserve"> (</w:t>
      </w:r>
      <w:r w:rsidRPr="00FF39C9">
        <w:t>Peter Havelka und Silvia Sabo, „</w:t>
      </w:r>
      <w:r w:rsidRPr="00FF39C9">
        <w:rPr>
          <w:i/>
        </w:rPr>
        <w:t>Mit Stadttauben leben</w:t>
      </w:r>
      <w:r w:rsidRPr="00FF39C9">
        <w:t>“, Arbeitsblätter zum Naturschutz 18, 1995</w:t>
      </w:r>
      <w:r>
        <w:t xml:space="preserve">, </w:t>
      </w:r>
      <w:r w:rsidRPr="007178CE">
        <w:t>Landesanstalt für Umweltschutz Baden-Württemberg</w:t>
      </w:r>
      <w:r>
        <w:t xml:space="preserve">, </w:t>
      </w:r>
      <w:r w:rsidRPr="007178CE">
        <w:rPr>
          <w:rFonts w:eastAsia="Times New Roman" w:cs="Times New Roman"/>
          <w:color w:val="000000"/>
          <w:szCs w:val="24"/>
          <w:lang w:eastAsia="de-DE"/>
        </w:rPr>
        <w:t>S. 55). Zusätzlich verbleibt der ganz überwiegende Teil des Kots im Taubenschlag, da sich die Tauben nicht nur die ganze Nacht, sondern auch den überwiegenden Teil des Tages im Taubenschlag aufhalten. Daneben kann mit Hilfe von artgerechtem Futter, Grit (Magensteinchen und Mineralstoffe), frischem, sauberen Wasser (Tränkeautomaten), regelmäßiger Reinigung und gelegentlicher Desinfektion der Schläge die Population gesund gehalten werden.</w:t>
      </w:r>
    </w:p>
    <w:p w14:paraId="1FF9D782" w14:textId="5DCE7858" w:rsidR="00FF39C9" w:rsidRPr="009C572C" w:rsidRDefault="00FF39C9" w:rsidP="00FF39C9">
      <w:pPr>
        <w:spacing w:line="240" w:lineRule="auto"/>
        <w:ind w:right="423"/>
        <w:jc w:val="both"/>
        <w:rPr>
          <w:rFonts w:eastAsia="Times New Roman" w:cs="Times New Roman"/>
          <w:szCs w:val="24"/>
          <w:lang w:eastAsia="de-DE"/>
        </w:rPr>
      </w:pPr>
      <w:r>
        <w:rPr>
          <w:rFonts w:eastAsia="Times New Roman" w:cs="Times New Roman"/>
          <w:color w:val="000000"/>
          <w:szCs w:val="24"/>
          <w:lang w:eastAsia="de-DE"/>
        </w:rPr>
        <w:t xml:space="preserve">Währenddessen kommt es im aktuellen Fall des beinahe völligen Ausbleibens von Nahrungsabfällen in den Kommunen mit Fütterungsverbot zu einem massenhaften Verhungern der Tauben, was länger anhaltende erhebliche Schmerzen und Leiden </w:t>
      </w:r>
      <w:r>
        <w:rPr>
          <w:rFonts w:eastAsia="Times New Roman" w:cs="Times New Roman"/>
          <w:color w:val="000000"/>
          <w:szCs w:val="24"/>
          <w:lang w:eastAsia="de-DE"/>
        </w:rPr>
        <w:lastRenderedPageBreak/>
        <w:t xml:space="preserve">verursacht. Damit ist die unterlassene Versorgung der Tauben ein Straftatbestand nach § 17 Satz 2 b TierSchG (siehe (2) </w:t>
      </w:r>
      <w:r w:rsidRPr="007178CE">
        <w:rPr>
          <w:rFonts w:eastAsia="Times New Roman"/>
          <w:lang w:eastAsia="de-DE"/>
        </w:rPr>
        <w:t>Das Fütterungsverbot verletzt § 17 Nr. 2 lit. b) TierSchG</w:t>
      </w:r>
      <w:r>
        <w:rPr>
          <w:rFonts w:eastAsia="Times New Roman"/>
          <w:lang w:eastAsia="de-DE"/>
        </w:rPr>
        <w:t>)</w:t>
      </w:r>
      <w:r>
        <w:rPr>
          <w:rFonts w:eastAsia="Times New Roman" w:cs="Times New Roman"/>
          <w:color w:val="000000"/>
          <w:szCs w:val="24"/>
          <w:lang w:eastAsia="de-DE"/>
        </w:rPr>
        <w:t>.</w:t>
      </w:r>
    </w:p>
    <w:p w14:paraId="4E134FBF" w14:textId="77777777" w:rsidR="007178CE" w:rsidRPr="007178CE" w:rsidRDefault="007178CE" w:rsidP="007178CE">
      <w:pPr>
        <w:spacing w:after="0" w:line="240" w:lineRule="auto"/>
        <w:rPr>
          <w:rFonts w:eastAsia="Times New Roman" w:cs="Times New Roman"/>
          <w:szCs w:val="24"/>
          <w:lang w:eastAsia="de-DE"/>
        </w:rPr>
      </w:pPr>
    </w:p>
    <w:p w14:paraId="55E7349E" w14:textId="5F3F9BF1" w:rsidR="007178CE" w:rsidRPr="007178CE" w:rsidRDefault="007178CE" w:rsidP="007178CE">
      <w:pPr>
        <w:spacing w:line="240" w:lineRule="auto"/>
        <w:ind w:right="423"/>
        <w:jc w:val="both"/>
        <w:rPr>
          <w:rFonts w:eastAsia="Times New Roman" w:cs="Times New Roman"/>
          <w:szCs w:val="24"/>
          <w:lang w:eastAsia="de-DE"/>
        </w:rPr>
      </w:pPr>
      <w:r w:rsidRPr="00C42E60">
        <w:rPr>
          <w:rFonts w:eastAsia="Times New Roman" w:cs="Times New Roman"/>
          <w:color w:val="000000"/>
          <w:szCs w:val="24"/>
          <w:lang w:eastAsia="de-DE"/>
        </w:rPr>
        <w:t xml:space="preserve">Rein vorsorglich wird darauf hingewiesen, dass </w:t>
      </w:r>
      <w:r w:rsidR="00FF39C9">
        <w:rPr>
          <w:rFonts w:eastAsia="Times New Roman" w:cs="Times New Roman"/>
          <w:color w:val="000000"/>
          <w:szCs w:val="24"/>
          <w:lang w:eastAsia="de-DE"/>
        </w:rPr>
        <w:t xml:space="preserve">generell </w:t>
      </w:r>
      <w:r w:rsidRPr="00C42E60">
        <w:rPr>
          <w:rFonts w:eastAsia="Times New Roman" w:cs="Times New Roman"/>
          <w:color w:val="000000"/>
          <w:szCs w:val="24"/>
          <w:lang w:eastAsia="de-DE"/>
        </w:rPr>
        <w:t>ein Fütterungsverbot auch nicht den Anforderungen an die Erforderlichkeit einer Maßnahme genügt</w:t>
      </w:r>
      <w:r w:rsidRPr="004E3EF5">
        <w:rPr>
          <w:rFonts w:eastAsia="Times New Roman" w:cs="Times New Roman"/>
          <w:color w:val="000000"/>
          <w:szCs w:val="24"/>
          <w:lang w:eastAsia="de-DE"/>
        </w:rPr>
        <w:t xml:space="preserve">. </w:t>
      </w:r>
      <w:r w:rsidRPr="00C42E60">
        <w:rPr>
          <w:rFonts w:eastAsia="Times New Roman" w:cs="Times New Roman"/>
          <w:color w:val="000000"/>
          <w:szCs w:val="24"/>
          <w:lang w:eastAsia="de-DE"/>
        </w:rPr>
        <w:t>Danach darf kein anderes, milderes Mittel zur Verfügung stehen, welches im gleichen Maße effektiv ist. Solche gleichermaßen effektive Mittel stehen hier jedoch bereit.</w:t>
      </w:r>
      <w:r w:rsidRPr="007178CE">
        <w:rPr>
          <w:rFonts w:eastAsia="Times New Roman" w:cs="Times New Roman"/>
          <w:color w:val="000000"/>
          <w:szCs w:val="24"/>
          <w:lang w:eastAsia="de-DE"/>
        </w:rPr>
        <w:t xml:space="preserve"> Sollte man also entgegen aller vorgebrachten nachgewiesenen Tatsachen an der Fehlvorstellung festhalten, dass ein Fütterungsverbot eine Bestandsminimierung zur Folge habe, wären Alternativmethoden effektiver und weniger schädlich. Hierfür kommt insbesondere die aufgezeigte Installation von Taubenhäusern in Betracht, die zu einer Bestandsminimierung innerhalb relativ kurzer Zeit führt und zugleich tierfreundlich ist.</w:t>
      </w:r>
    </w:p>
    <w:p w14:paraId="21DA7043" w14:textId="77777777" w:rsidR="007178CE" w:rsidRPr="007178CE" w:rsidRDefault="007178CE" w:rsidP="007178CE">
      <w:pPr>
        <w:spacing w:line="240" w:lineRule="auto"/>
        <w:ind w:right="423"/>
        <w:jc w:val="both"/>
        <w:rPr>
          <w:rFonts w:eastAsia="Times New Roman" w:cs="Times New Roman"/>
          <w:szCs w:val="24"/>
          <w:lang w:eastAsia="de-DE"/>
        </w:rPr>
      </w:pPr>
      <w:r w:rsidRPr="007178CE">
        <w:rPr>
          <w:rFonts w:eastAsia="Times New Roman" w:cs="Times New Roman"/>
          <w:color w:val="000000"/>
          <w:szCs w:val="24"/>
          <w:lang w:eastAsia="de-DE"/>
        </w:rPr>
        <w:t xml:space="preserve">Schließlich – und dies sei nur der Vollständigkeit halber erwähnt – ist </w:t>
      </w:r>
      <w:r w:rsidRPr="00C42E60">
        <w:rPr>
          <w:rFonts w:eastAsia="Times New Roman" w:cs="Times New Roman"/>
          <w:color w:val="000000"/>
          <w:szCs w:val="24"/>
          <w:lang w:eastAsia="de-DE"/>
        </w:rPr>
        <w:t>die Maßnahme nicht verhältnismäßig im engeren Sinn.</w:t>
      </w:r>
      <w:r w:rsidRPr="004E3EF5">
        <w:rPr>
          <w:rFonts w:eastAsia="Times New Roman" w:cs="Times New Roman"/>
          <w:color w:val="000000"/>
          <w:szCs w:val="24"/>
          <w:lang w:eastAsia="de-DE"/>
        </w:rPr>
        <w:t xml:space="preserve"> </w:t>
      </w:r>
      <w:r w:rsidRPr="00C42E60">
        <w:rPr>
          <w:rFonts w:eastAsia="Times New Roman" w:cs="Times New Roman"/>
          <w:color w:val="000000"/>
          <w:szCs w:val="24"/>
          <w:lang w:eastAsia="de-DE"/>
        </w:rPr>
        <w:t>Denn auf Seiten der Tauben ist das gewichtigste, für sie sprechende Rechtsgut in die Abwägung einzustellen: das Recht auf Leben. Dieses ist durch Art. 20a GG i.V.m. § 1 TierSchG garantiert und genießt damit verfassungsrechtlichen Schutz.</w:t>
      </w:r>
      <w:r w:rsidRPr="004E3EF5">
        <w:rPr>
          <w:rFonts w:eastAsia="Times New Roman" w:cs="Times New Roman"/>
          <w:color w:val="000000"/>
          <w:szCs w:val="24"/>
          <w:lang w:eastAsia="de-DE"/>
        </w:rPr>
        <w:t xml:space="preserve"> </w:t>
      </w:r>
      <w:r w:rsidRPr="00C42E60">
        <w:rPr>
          <w:rFonts w:eastAsia="Times New Roman" w:cs="Times New Roman"/>
          <w:color w:val="000000"/>
          <w:szCs w:val="24"/>
          <w:lang w:eastAsia="de-DE"/>
        </w:rPr>
        <w:t>Denn die Leitprinzipien des TierSchG sollten durch Einfügung des Tierschutzes in Art. 20a GG verfassungsrechtlich aufgewertet werden</w:t>
      </w:r>
      <w:r w:rsidRPr="004E3EF5">
        <w:rPr>
          <w:rFonts w:eastAsia="Times New Roman" w:cs="Times New Roman"/>
          <w:color w:val="000000"/>
          <w:szCs w:val="24"/>
          <w:lang w:eastAsia="de-DE"/>
        </w:rPr>
        <w:t xml:space="preserve"> (</w:t>
      </w:r>
      <w:r w:rsidR="003322D4" w:rsidRPr="00FF39C9">
        <w:rPr>
          <w:szCs w:val="24"/>
        </w:rPr>
        <w:t>Oberverwaltungsgericht für das Land Nordrhein-Westfalen, Urteil vom 20. Mai 2016 – 20 A 488/15 –, Rn. 83, juris</w:t>
      </w:r>
      <w:r w:rsidRPr="00FF39C9">
        <w:rPr>
          <w:rFonts w:eastAsia="Times New Roman" w:cs="Times New Roman"/>
          <w:color w:val="000000"/>
          <w:szCs w:val="24"/>
          <w:lang w:eastAsia="de-DE"/>
        </w:rPr>
        <w:t xml:space="preserve">). </w:t>
      </w:r>
      <w:r w:rsidRPr="00C42E60">
        <w:rPr>
          <w:rFonts w:eastAsia="Times New Roman" w:cs="Times New Roman"/>
          <w:color w:val="000000"/>
          <w:szCs w:val="24"/>
          <w:lang w:eastAsia="de-DE"/>
        </w:rPr>
        <w:t>Hierzu zählt insbesondere das Recht auf Leben</w:t>
      </w:r>
      <w:r w:rsidR="003322D4" w:rsidRPr="00C42E60">
        <w:rPr>
          <w:rFonts w:eastAsia="Times New Roman" w:cs="Times New Roman"/>
          <w:color w:val="000000"/>
          <w:szCs w:val="24"/>
          <w:lang w:eastAsia="de-DE"/>
        </w:rPr>
        <w:t>, das durch § 1 TierSchG geschützt ist</w:t>
      </w:r>
      <w:r w:rsidRPr="004E3EF5">
        <w:rPr>
          <w:rFonts w:eastAsia="Times New Roman" w:cs="Times New Roman"/>
          <w:color w:val="000000"/>
          <w:szCs w:val="24"/>
          <w:lang w:eastAsia="de-DE"/>
        </w:rPr>
        <w:t xml:space="preserve"> (</w:t>
      </w:r>
      <w:r w:rsidR="003322D4" w:rsidRPr="00FF39C9">
        <w:rPr>
          <w:rFonts w:cs="Times New Roman"/>
          <w:szCs w:val="24"/>
        </w:rPr>
        <w:t>BVerwG, Urteil vom 13. Juni 2019 – 3 C 29/16 –, Rn. 16, juris,</w:t>
      </w:r>
      <w:r w:rsidRPr="00FF39C9">
        <w:rPr>
          <w:rFonts w:eastAsia="Times New Roman" w:cs="Times New Roman"/>
          <w:color w:val="000000"/>
          <w:szCs w:val="24"/>
          <w:lang w:eastAsia="de-DE"/>
        </w:rPr>
        <w:t xml:space="preserve">). </w:t>
      </w:r>
      <w:r w:rsidRPr="00C42E60">
        <w:rPr>
          <w:rFonts w:eastAsia="Times New Roman" w:cs="Times New Roman"/>
          <w:color w:val="000000"/>
          <w:szCs w:val="24"/>
          <w:lang w:eastAsia="de-DE"/>
        </w:rPr>
        <w:t>Dem gravierenden Eingriff in diese Rechtsposition durch das Verhungern der Tauben steht nur ein vergleichsweise geringer Eingriff in kollidierende Positionen gegenüber.</w:t>
      </w:r>
      <w:r w:rsidRPr="007178CE">
        <w:rPr>
          <w:rFonts w:eastAsia="Times New Roman" w:cs="Times New Roman"/>
          <w:color w:val="000000"/>
          <w:szCs w:val="24"/>
          <w:lang w:eastAsia="de-DE"/>
        </w:rPr>
        <w:t xml:space="preserve"> Insbesondere wird das Eigentumsrecht, Art. 14 GG, der durch Taubenkot betroffenen Hauseigentümer nicht erheblich tangiert.</w:t>
      </w:r>
    </w:p>
    <w:p w14:paraId="54116C2B" w14:textId="77777777" w:rsidR="007178CE" w:rsidRPr="007178CE" w:rsidRDefault="007178CE" w:rsidP="007178CE">
      <w:pPr>
        <w:spacing w:line="240" w:lineRule="auto"/>
        <w:ind w:right="423"/>
        <w:jc w:val="both"/>
        <w:rPr>
          <w:rFonts w:eastAsia="Times New Roman" w:cs="Times New Roman"/>
          <w:szCs w:val="24"/>
          <w:lang w:eastAsia="de-DE"/>
        </w:rPr>
      </w:pPr>
      <w:r w:rsidRPr="00C42E60">
        <w:rPr>
          <w:rFonts w:eastAsia="Times New Roman" w:cs="Times New Roman"/>
          <w:color w:val="000000"/>
          <w:szCs w:val="24"/>
          <w:lang w:eastAsia="de-DE"/>
        </w:rPr>
        <w:t>So bestätigte eine Untersuchung der Technischen Universität Darmstadt im Jahr 2004 (in Auftrag gegeben durch Bundesverband Menschen für Tierrechte), dass Taubenkot bei mineralischen Baustoffen zu keinerlei Veränderungen führt. Buntsandstein, Granit, Travertin, Zementmörtel, Vollziegel, Vollklinker, unbehandeltes und lasiertes Nadelholz erfahren demnach keine Schädigung durch Taubenkot. Anders liegt der Fall lediglich bei Blechen, die durch den Kot der Taube angegriffen und beschädigt werden können. So ist die Bedeckung der Gebäude in der Innenstadt mit Taubenkot zwar lästig und stellt eine Verunreinigung dar, von einer Schädigung der Bausubstanz kann jedoch in der ganz überwiegenden Zahl der Fälle nicht gesprochen werden. Hinzu kommt die Tatsache, dass der Taubenkot ohne weiteres wieder von den Gebäuden entfernt und, sofern dies rechtzeitig geschieht, eine Schädigung verhindert werden kann.</w:t>
      </w:r>
    </w:p>
    <w:p w14:paraId="3B6F7F72" w14:textId="77777777" w:rsidR="007178CE" w:rsidRPr="007178CE" w:rsidRDefault="007178CE" w:rsidP="007178CE">
      <w:pPr>
        <w:pStyle w:val="berschrift4"/>
      </w:pPr>
      <w:r w:rsidRPr="007178CE">
        <w:t>Zwischenergebnis</w:t>
      </w:r>
    </w:p>
    <w:p w14:paraId="3F78F961" w14:textId="77777777" w:rsidR="007178CE" w:rsidRPr="007178CE" w:rsidRDefault="007178CE" w:rsidP="007178CE">
      <w:pPr>
        <w:spacing w:line="240" w:lineRule="auto"/>
        <w:ind w:right="423"/>
        <w:jc w:val="both"/>
        <w:rPr>
          <w:rFonts w:eastAsia="Times New Roman" w:cs="Times New Roman"/>
          <w:szCs w:val="24"/>
          <w:lang w:eastAsia="de-DE"/>
        </w:rPr>
      </w:pPr>
      <w:r w:rsidRPr="007178CE">
        <w:rPr>
          <w:rFonts w:eastAsia="Times New Roman" w:cs="Times New Roman"/>
          <w:color w:val="000000"/>
          <w:szCs w:val="24"/>
          <w:lang w:eastAsia="de-DE"/>
        </w:rPr>
        <w:t>Die Tötung der Tauben durch Aushungern ist mithin unverhältnismäßig und damit unzulässig.</w:t>
      </w:r>
    </w:p>
    <w:p w14:paraId="1F03C439" w14:textId="77777777" w:rsidR="007178CE" w:rsidRPr="007178CE" w:rsidRDefault="007178CE" w:rsidP="007178CE">
      <w:pPr>
        <w:pStyle w:val="berschrift3"/>
        <w:rPr>
          <w:rFonts w:eastAsia="Times New Roman"/>
          <w:sz w:val="27"/>
          <w:szCs w:val="27"/>
          <w:lang w:eastAsia="de-DE"/>
        </w:rPr>
      </w:pPr>
      <w:r w:rsidRPr="007178CE">
        <w:rPr>
          <w:rFonts w:eastAsia="Times New Roman"/>
          <w:lang w:eastAsia="de-DE"/>
        </w:rPr>
        <w:t>Das Fütterungsverbot verletzt § 17 Nr. 2 lit. b) TierSchG</w:t>
      </w:r>
    </w:p>
    <w:p w14:paraId="6E8B8B35" w14:textId="77777777" w:rsidR="007178CE" w:rsidRPr="00FF39C9" w:rsidRDefault="007178CE" w:rsidP="007178CE">
      <w:pPr>
        <w:spacing w:line="240" w:lineRule="auto"/>
        <w:jc w:val="both"/>
        <w:rPr>
          <w:rFonts w:eastAsia="Times New Roman" w:cs="Times New Roman"/>
          <w:szCs w:val="24"/>
          <w:lang w:eastAsia="de-DE"/>
        </w:rPr>
      </w:pPr>
      <w:r w:rsidRPr="004E3EF5">
        <w:rPr>
          <w:rFonts w:eastAsia="Times New Roman" w:cs="Times New Roman"/>
          <w:color w:val="000000"/>
          <w:szCs w:val="24"/>
          <w:lang w:eastAsia="de-DE"/>
        </w:rPr>
        <w:t>Denn [</w:t>
      </w:r>
      <w:r w:rsidRPr="00C42E60">
        <w:rPr>
          <w:rFonts w:eastAsia="Times New Roman" w:cs="Times New Roman"/>
          <w:color w:val="000000"/>
          <w:szCs w:val="24"/>
          <w:lang w:eastAsia="de-DE"/>
        </w:rPr>
        <w:t>hier Norm einfügen</w:t>
      </w:r>
      <w:r w:rsidRPr="004E3EF5">
        <w:rPr>
          <w:rFonts w:eastAsia="Times New Roman" w:cs="Times New Roman"/>
          <w:color w:val="000000"/>
          <w:szCs w:val="24"/>
          <w:lang w:eastAsia="de-DE"/>
        </w:rPr>
        <w:t xml:space="preserve">] verstößt überdies gegen § 17 Nr. 2 lit. b) TierSchG. Nach § 17 Nr. 2 </w:t>
      </w:r>
      <w:r w:rsidRPr="00FF39C9">
        <w:rPr>
          <w:rFonts w:eastAsia="Times New Roman" w:cs="Times New Roman"/>
          <w:color w:val="000000"/>
          <w:szCs w:val="24"/>
          <w:lang w:eastAsia="de-DE"/>
        </w:rPr>
        <w:t>b TierSchG wird mit Freiheitsstrafe bis zu drei Jahren oder mit Geldstrafe bestraft, wer einem Wirbeltier länger anhaltende oder sich wiederholende erhebliche Schmerzen oder Leiden zufügt.</w:t>
      </w:r>
    </w:p>
    <w:p w14:paraId="7A685B8C" w14:textId="5A16A849" w:rsidR="007178CE" w:rsidRPr="007178CE" w:rsidRDefault="007178CE" w:rsidP="007178CE">
      <w:pPr>
        <w:spacing w:line="240" w:lineRule="auto"/>
        <w:jc w:val="both"/>
        <w:rPr>
          <w:rFonts w:eastAsia="Times New Roman" w:cs="Times New Roman"/>
          <w:szCs w:val="24"/>
          <w:lang w:eastAsia="de-DE"/>
        </w:rPr>
      </w:pPr>
      <w:r w:rsidRPr="00C42E60">
        <w:rPr>
          <w:rFonts w:eastAsia="Times New Roman" w:cs="Times New Roman"/>
          <w:color w:val="000000"/>
          <w:szCs w:val="24"/>
          <w:lang w:eastAsia="de-DE"/>
        </w:rPr>
        <w:t>Gegen diesen Straftatbestand wird mit dem Fütterungsverbot vorsätzlich verstoßen</w:t>
      </w:r>
      <w:r w:rsidRPr="004E3EF5">
        <w:rPr>
          <w:rFonts w:eastAsia="Times New Roman" w:cs="Times New Roman"/>
          <w:color w:val="000000"/>
          <w:szCs w:val="24"/>
          <w:lang w:eastAsia="de-DE"/>
        </w:rPr>
        <w:t>.</w:t>
      </w:r>
      <w:r w:rsidRPr="007178CE">
        <w:rPr>
          <w:rFonts w:eastAsia="Times New Roman" w:cs="Times New Roman"/>
          <w:color w:val="000000"/>
          <w:szCs w:val="24"/>
          <w:lang w:eastAsia="de-DE"/>
        </w:rPr>
        <w:t xml:space="preserve"> Denn der strafbewährte Erfolg von § 17 Nr. 2 lit. b) TierSchG ist nicht lediglich eine unvermeidbare Nebenfolge des gegenständlichen Fütterungsverbots. Im Gegenteil, die Erfolgsherbeiführung </w:t>
      </w:r>
      <w:r w:rsidRPr="007178CE">
        <w:rPr>
          <w:rFonts w:eastAsia="Times New Roman" w:cs="Times New Roman"/>
          <w:color w:val="000000"/>
          <w:szCs w:val="24"/>
          <w:lang w:eastAsia="de-DE"/>
        </w:rPr>
        <w:lastRenderedPageBreak/>
        <w:t xml:space="preserve">ist vielmehr Zweck der Regelung, da das Fütterungsverbot darauf zielt, den Bestand der Tauben durch Verhungern zu dezimieren. Denn wie Sie wissen, wird eine direkte Folge des Fütterungsverbots sein, dass viele Tauben verhungern. </w:t>
      </w:r>
      <w:r w:rsidRPr="00C42E60">
        <w:rPr>
          <w:rFonts w:eastAsia="Times New Roman" w:cs="Times New Roman"/>
          <w:color w:val="000000"/>
          <w:szCs w:val="24"/>
          <w:lang w:eastAsia="de-DE"/>
        </w:rPr>
        <w:t>Dies folgt aus dem Umstand, dass diese Tiere fast vollständig auf die Fütterung durch den Menschen angewiesen sind</w:t>
      </w:r>
      <w:r w:rsidRPr="004E3EF5">
        <w:rPr>
          <w:rFonts w:eastAsia="Times New Roman" w:cs="Times New Roman"/>
          <w:color w:val="000000"/>
          <w:szCs w:val="24"/>
          <w:lang w:eastAsia="de-DE"/>
        </w:rPr>
        <w:t xml:space="preserve">. </w:t>
      </w:r>
      <w:r w:rsidRPr="00C42E60">
        <w:rPr>
          <w:rFonts w:eastAsia="Times New Roman" w:cs="Times New Roman"/>
          <w:color w:val="000000"/>
          <w:szCs w:val="24"/>
          <w:lang w:eastAsia="de-DE"/>
        </w:rPr>
        <w:t>Zudem k</w:t>
      </w:r>
      <w:r w:rsidR="00FA5EDC" w:rsidRPr="00C42E60">
        <w:rPr>
          <w:rFonts w:eastAsia="Times New Roman" w:cs="Times New Roman"/>
          <w:color w:val="000000"/>
          <w:szCs w:val="24"/>
          <w:lang w:eastAsia="de-DE"/>
        </w:rPr>
        <w:t>ö</w:t>
      </w:r>
      <w:r w:rsidRPr="00C42E60">
        <w:rPr>
          <w:rFonts w:eastAsia="Times New Roman" w:cs="Times New Roman"/>
          <w:color w:val="000000"/>
          <w:szCs w:val="24"/>
          <w:lang w:eastAsia="de-DE"/>
        </w:rPr>
        <w:t>nn</w:t>
      </w:r>
      <w:r w:rsidR="00FA5EDC" w:rsidRPr="00C42E60">
        <w:rPr>
          <w:rFonts w:eastAsia="Times New Roman" w:cs="Times New Roman"/>
          <w:color w:val="000000"/>
          <w:szCs w:val="24"/>
          <w:lang w:eastAsia="de-DE"/>
        </w:rPr>
        <w:t>en</w:t>
      </w:r>
      <w:r w:rsidRPr="00C42E60">
        <w:rPr>
          <w:rFonts w:eastAsia="Times New Roman" w:cs="Times New Roman"/>
          <w:color w:val="000000"/>
          <w:szCs w:val="24"/>
          <w:lang w:eastAsia="de-DE"/>
        </w:rPr>
        <w:t xml:space="preserve"> die bereits vor dem Fütterungsverbot als zentrale Nahrungsquelle dienenden Stadtabfällen ein Überleben der Stadttauben nicht sicherstellen</w:t>
      </w:r>
      <w:r w:rsidRPr="007178CE">
        <w:rPr>
          <w:rFonts w:eastAsia="Times New Roman" w:cs="Times New Roman"/>
          <w:color w:val="000000"/>
          <w:szCs w:val="24"/>
          <w:lang w:eastAsia="de-DE"/>
        </w:rPr>
        <w:t xml:space="preserve"> (</w:t>
      </w:r>
      <w:r w:rsidRPr="005A307F">
        <w:t xml:space="preserve">Peter Havelka und Silvia Sabo, </w:t>
      </w:r>
      <w:r>
        <w:t>„</w:t>
      </w:r>
      <w:r w:rsidRPr="007178CE">
        <w:rPr>
          <w:i/>
        </w:rPr>
        <w:t>Mit Stadttauben leben</w:t>
      </w:r>
      <w:r>
        <w:t>“</w:t>
      </w:r>
      <w:r w:rsidRPr="005A307F">
        <w:t>,</w:t>
      </w:r>
      <w:r w:rsidRPr="007178CE">
        <w:t xml:space="preserve"> </w:t>
      </w:r>
      <w:r>
        <w:t xml:space="preserve">Arbeitsblätter zum Naturschutz 18, 1995, </w:t>
      </w:r>
      <w:r w:rsidRPr="007178CE">
        <w:t>Landesanstalt für Umweltschutz Baden-Württemberg</w:t>
      </w:r>
      <w:r>
        <w:t>,</w:t>
      </w:r>
      <w:r w:rsidRPr="005A307F">
        <w:t xml:space="preserve"> </w:t>
      </w:r>
      <w:r w:rsidRPr="007178CE">
        <w:rPr>
          <w:rFonts w:eastAsia="Times New Roman" w:cs="Times New Roman"/>
          <w:color w:val="000000"/>
          <w:szCs w:val="24"/>
          <w:lang w:eastAsia="de-DE"/>
        </w:rPr>
        <w:t>S. 52). </w:t>
      </w:r>
    </w:p>
    <w:p w14:paraId="108D0E43" w14:textId="77777777" w:rsidR="007178CE" w:rsidRPr="007178CE" w:rsidRDefault="007178CE" w:rsidP="007178CE">
      <w:pPr>
        <w:pStyle w:val="berschrift4"/>
      </w:pPr>
      <w:r w:rsidRPr="007178CE">
        <w:t>Erhebliche Schmerzen und Leiden durch Verhungern</w:t>
      </w:r>
    </w:p>
    <w:p w14:paraId="0E68D252" w14:textId="77777777" w:rsidR="007178CE" w:rsidRPr="007178CE" w:rsidRDefault="007178CE" w:rsidP="007178CE">
      <w:pPr>
        <w:spacing w:line="240" w:lineRule="auto"/>
        <w:jc w:val="both"/>
        <w:rPr>
          <w:rFonts w:eastAsia="Times New Roman" w:cs="Times New Roman"/>
          <w:szCs w:val="24"/>
          <w:lang w:eastAsia="de-DE"/>
        </w:rPr>
      </w:pPr>
      <w:r w:rsidRPr="00C42E60">
        <w:rPr>
          <w:rFonts w:eastAsia="Times New Roman" w:cs="Times New Roman"/>
          <w:color w:val="000000"/>
          <w:szCs w:val="24"/>
          <w:lang w:eastAsia="de-DE"/>
        </w:rPr>
        <w:t>Das Verhungern einer Stadttaube verursacht sowohl erhebliche Schmerzen als auch erhebliche Leiden im Sinne des § 17 Abs. 2 lit. b) TierSchG.</w:t>
      </w:r>
      <w:r w:rsidRPr="007178CE">
        <w:rPr>
          <w:rFonts w:eastAsia="Times New Roman" w:cs="Times New Roman"/>
          <w:color w:val="000000"/>
          <w:szCs w:val="24"/>
          <w:lang w:eastAsia="de-DE"/>
        </w:rPr>
        <w:t xml:space="preserve"> Schmerzen sind unangenehme sensorische oder gefühlsmäßige Erfahrungen, die mit akuter oder potentieller Gewerbeschädigung einhergehen oder in Form solcher Schädigungen beschrieben werden („</w:t>
      </w:r>
      <w:r w:rsidRPr="007178CE">
        <w:rPr>
          <w:rFonts w:eastAsia="Times New Roman" w:cs="Times New Roman"/>
          <w:i/>
          <w:color w:val="000000"/>
          <w:szCs w:val="24"/>
          <w:lang w:eastAsia="de-DE"/>
        </w:rPr>
        <w:t xml:space="preserve">International Association for the Study of Pain“, </w:t>
      </w:r>
      <w:r w:rsidRPr="007178CE">
        <w:rPr>
          <w:rFonts w:eastAsia="Times New Roman" w:cs="Times New Roman"/>
          <w:color w:val="000000"/>
          <w:szCs w:val="24"/>
          <w:lang w:eastAsia="de-DE"/>
        </w:rPr>
        <w:t>zitiert nach Bernatzky in Sambraus/Steiger, S. 40).</w:t>
      </w:r>
    </w:p>
    <w:p w14:paraId="66594D2F" w14:textId="77777777" w:rsidR="007178CE" w:rsidRPr="007178CE" w:rsidRDefault="007178CE" w:rsidP="007178CE">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t xml:space="preserve">Leiden sind alle Beeinträchtigungen im Wohlbefinden, die </w:t>
      </w:r>
      <w:r w:rsidR="003322D4">
        <w:rPr>
          <w:rFonts w:eastAsia="Times New Roman" w:cs="Times New Roman"/>
          <w:color w:val="000000"/>
          <w:szCs w:val="24"/>
          <w:lang w:eastAsia="de-DE"/>
        </w:rPr>
        <w:t>„</w:t>
      </w:r>
      <w:r w:rsidRPr="007178CE">
        <w:rPr>
          <w:rFonts w:eastAsia="Times New Roman" w:cs="Times New Roman"/>
          <w:i/>
          <w:color w:val="000000"/>
          <w:szCs w:val="24"/>
          <w:lang w:eastAsia="de-DE"/>
        </w:rPr>
        <w:t>über ein schlichtes Unbehagen hinausgehen und eine nicht ganz unwesentliche Zeitspanne fortdauern</w:t>
      </w:r>
      <w:r w:rsidR="003322D4">
        <w:rPr>
          <w:rFonts w:eastAsia="Times New Roman" w:cs="Times New Roman"/>
          <w:color w:val="000000"/>
          <w:szCs w:val="24"/>
          <w:lang w:eastAsia="de-DE"/>
        </w:rPr>
        <w:t>“</w:t>
      </w:r>
      <w:r w:rsidRPr="007178CE">
        <w:rPr>
          <w:rFonts w:eastAsia="Times New Roman" w:cs="Times New Roman"/>
          <w:color w:val="000000"/>
          <w:szCs w:val="24"/>
          <w:lang w:eastAsia="de-DE"/>
        </w:rPr>
        <w:t xml:space="preserve"> (</w:t>
      </w:r>
      <w:r w:rsidR="003322D4" w:rsidRPr="003322D4">
        <w:rPr>
          <w:rFonts w:eastAsia="Times New Roman" w:cs="Times New Roman"/>
          <w:color w:val="000000"/>
          <w:szCs w:val="24"/>
          <w:lang w:eastAsia="de-DE"/>
        </w:rPr>
        <w:t>BGH, Urteil vom 18. Februar 1987 – 2 StR 159/86 –, Rn. 16, juris</w:t>
      </w:r>
      <w:r w:rsidRPr="007178CE">
        <w:rPr>
          <w:rFonts w:eastAsia="Times New Roman" w:cs="Times New Roman"/>
          <w:color w:val="000000"/>
          <w:szCs w:val="24"/>
          <w:lang w:eastAsia="de-DE"/>
        </w:rPr>
        <w:t>). Diese werden durch der Wesensart des Tieres zuwiderlaufende, instinktwidrige und vom Tier gegenüber seinem Selbst- oder Arterhaltungstrieb als lebensfeindlich empfundene Einwirkungen durch sonstige Beeinträchtigungen des Wohlbefindens verursacht (VGH</w:t>
      </w:r>
      <w:r w:rsidR="003322D4">
        <w:rPr>
          <w:rFonts w:eastAsia="Times New Roman" w:cs="Times New Roman"/>
          <w:color w:val="000000"/>
          <w:szCs w:val="24"/>
          <w:lang w:eastAsia="de-DE"/>
        </w:rPr>
        <w:t xml:space="preserve"> Mannheim, </w:t>
      </w:r>
      <w:r w:rsidRPr="007178CE">
        <w:rPr>
          <w:rFonts w:eastAsia="Times New Roman" w:cs="Times New Roman"/>
          <w:color w:val="000000"/>
          <w:szCs w:val="24"/>
          <w:lang w:eastAsia="de-DE"/>
        </w:rPr>
        <w:t xml:space="preserve">NuR 1994, 487, 488). </w:t>
      </w:r>
      <w:r w:rsidRPr="00FA7BBE">
        <w:rPr>
          <w:rFonts w:eastAsia="Times New Roman" w:cs="Times New Roman"/>
          <w:color w:val="000000"/>
          <w:szCs w:val="24"/>
          <w:lang w:eastAsia="de-DE"/>
        </w:rPr>
        <w:t>Grundlegend ist hierzu festzuhalten, dass das Schmerzempfinden bei Säugetieren und auch bei Vögeln, die wie Säuger Warmblüter sind, nach Ansicht der Wissenschaft mit dem des Menschen gleichzusetzen ist</w:t>
      </w:r>
      <w:r w:rsidRPr="007178CE">
        <w:rPr>
          <w:rFonts w:eastAsia="Times New Roman" w:cs="Times New Roman"/>
          <w:color w:val="000000"/>
          <w:szCs w:val="24"/>
          <w:lang w:eastAsia="de-DE"/>
        </w:rPr>
        <w:t xml:space="preserve"> (Lorz/Metzger § 1, Rn. 24; Initiative tiermedizinische Schmerztherapie in: </w:t>
      </w:r>
      <w:r w:rsidR="003322D4">
        <w:rPr>
          <w:rFonts w:eastAsia="Times New Roman" w:cs="Times New Roman"/>
          <w:color w:val="000000"/>
          <w:szCs w:val="24"/>
          <w:lang w:eastAsia="de-DE"/>
        </w:rPr>
        <w:t>„</w:t>
      </w:r>
      <w:r w:rsidRPr="007178CE">
        <w:rPr>
          <w:rFonts w:eastAsia="Times New Roman" w:cs="Times New Roman"/>
          <w:i/>
          <w:color w:val="000000"/>
          <w:szCs w:val="24"/>
          <w:lang w:eastAsia="de-DE"/>
        </w:rPr>
        <w:t>Hat mein Vogel Schmerzen?</w:t>
      </w:r>
      <w:r w:rsidR="003322D4">
        <w:rPr>
          <w:rFonts w:eastAsia="Times New Roman" w:cs="Times New Roman"/>
          <w:color w:val="000000"/>
          <w:szCs w:val="24"/>
          <w:lang w:eastAsia="de-DE"/>
        </w:rPr>
        <w:t>“</w:t>
      </w:r>
      <w:r w:rsidRPr="007178CE">
        <w:rPr>
          <w:rFonts w:eastAsia="Times New Roman" w:cs="Times New Roman"/>
          <w:color w:val="000000"/>
          <w:szCs w:val="24"/>
          <w:lang w:eastAsia="de-DE"/>
        </w:rPr>
        <w:t>). Vögel besitzen zudem ein hohes Maß an Empfindungsvermögen.</w:t>
      </w:r>
    </w:p>
    <w:p w14:paraId="0AF2E329" w14:textId="77777777" w:rsidR="007178CE" w:rsidRPr="00FA7BBE" w:rsidRDefault="007178CE" w:rsidP="007178CE">
      <w:pPr>
        <w:spacing w:line="240" w:lineRule="auto"/>
        <w:jc w:val="both"/>
        <w:rPr>
          <w:rFonts w:eastAsia="Times New Roman" w:cs="Times New Roman"/>
          <w:szCs w:val="24"/>
          <w:lang w:eastAsia="de-DE"/>
        </w:rPr>
      </w:pPr>
      <w:r w:rsidRPr="00FA7BBE">
        <w:rPr>
          <w:rFonts w:eastAsia="Times New Roman" w:cs="Times New Roman"/>
          <w:color w:val="000000"/>
          <w:szCs w:val="24"/>
          <w:lang w:eastAsia="de-DE"/>
        </w:rPr>
        <w:t>Die durch den Futterentzug hervorgerufenen Schmerzen und Leiden sind ganz erheblich. Nach der Rechtsprechung des BGH dient der Begriff der Erheblichkeit der Abgrenzung von Bagatellfällen (</w:t>
      </w:r>
      <w:r w:rsidR="003322D4" w:rsidRPr="00FA7BBE">
        <w:rPr>
          <w:rFonts w:eastAsia="Times New Roman" w:cs="Times New Roman"/>
          <w:color w:val="000000"/>
          <w:szCs w:val="24"/>
          <w:lang w:eastAsia="de-DE"/>
        </w:rPr>
        <w:t>BGH, Urteil vom 18. Februar 1987 – 2 StR 159/86 –, Rn. 16, juris</w:t>
      </w:r>
      <w:r w:rsidRPr="00FA7BBE">
        <w:rPr>
          <w:rFonts w:eastAsia="Times New Roman" w:cs="Times New Roman"/>
          <w:color w:val="000000"/>
          <w:szCs w:val="24"/>
          <w:lang w:eastAsia="de-DE"/>
        </w:rPr>
        <w:t>). Strafbar soll nur sein, was Tieren mehr als geringfügige Schmerzen oder Leiden zufügt. Hierunter fallen somit alle Beeinträchtigungen, die die Geringfügigkeitsschwelle überschreiten und nach ihrer Art und Intensität beträchtlich, gravierend oder gewichtig sind (Hirt/Maisack/Moritz, TierSchG Kommentar, 3. Aufl., § 17 Rn. 88).  die Schmerzen und Leiden, wie § 17 Abs. 1 Nr. 2 lit b) TierSchG verlangt, länger anhaltend sind, ist offensichtlich. Dieses Merkmal dient der Abgrenzung zu nur kurzfristigen Störungen des Wohlbefindens (OLG Düsseldorf v. 20.04.1993, 5 Ss 171/92), weshalb eine mäßige Zeitspanne ausreichend ist (BayObLG v. 30.09.1977, RReg 4 St 143/77). </w:t>
      </w:r>
    </w:p>
    <w:p w14:paraId="230162A1" w14:textId="77777777" w:rsidR="007178CE" w:rsidRPr="007178CE" w:rsidRDefault="007178CE" w:rsidP="007178CE">
      <w:pPr>
        <w:spacing w:line="240" w:lineRule="auto"/>
        <w:jc w:val="both"/>
        <w:rPr>
          <w:rFonts w:eastAsia="Times New Roman" w:cs="Times New Roman"/>
          <w:szCs w:val="24"/>
          <w:lang w:eastAsia="de-DE"/>
        </w:rPr>
      </w:pPr>
      <w:r w:rsidRPr="00FA7BBE">
        <w:rPr>
          <w:rFonts w:eastAsia="Times New Roman" w:cs="Times New Roman"/>
          <w:color w:val="000000"/>
          <w:szCs w:val="24"/>
          <w:lang w:eastAsia="de-DE"/>
        </w:rPr>
        <w:t>Der Futterentzug führt zu Unterernährung, Schwächung des Körpers und des Immunsystems des Tieres und damit zur höheren Anfälligkeit für Krankheiten. Im Laufe des Hungerprozesses erfolgt ein Abbau des Fett- und Drüsengewebes sowie der Muskulatur. Dabei entnimmt der Körper auch Substanzen aus der Haut, den Nieren, der Lunge und den Knochen. Der Prozess des Verhungerns einer Taube zieht sich über mehrere Tage lang hin, wobei die Intensität der Schmerzen und Leiden stetig zunimmt und schließlich der Tod eintritt.</w:t>
      </w:r>
      <w:r w:rsidRPr="007178CE">
        <w:rPr>
          <w:rFonts w:eastAsia="Times New Roman" w:cs="Times New Roman"/>
          <w:color w:val="000000"/>
          <w:szCs w:val="24"/>
          <w:lang w:eastAsia="de-DE"/>
        </w:rPr>
        <w:t> </w:t>
      </w:r>
    </w:p>
    <w:p w14:paraId="07317FF3" w14:textId="77777777" w:rsidR="007178CE" w:rsidRPr="007178CE" w:rsidRDefault="007178CE" w:rsidP="007178CE">
      <w:pPr>
        <w:pStyle w:val="berschrift4"/>
      </w:pPr>
      <w:r w:rsidRPr="007178CE">
        <w:t>Ein vermeintlicher „</w:t>
      </w:r>
      <w:r w:rsidRPr="007178CE">
        <w:rPr>
          <w:i/>
        </w:rPr>
        <w:t>vernünftiger Grund</w:t>
      </w:r>
      <w:r w:rsidRPr="007178CE">
        <w:t>“ ist hier irrelevant</w:t>
      </w:r>
    </w:p>
    <w:p w14:paraId="11064F5E" w14:textId="77777777" w:rsidR="007178CE" w:rsidRPr="007178CE" w:rsidRDefault="007178CE" w:rsidP="007178CE">
      <w:pPr>
        <w:spacing w:line="240" w:lineRule="auto"/>
        <w:jc w:val="both"/>
        <w:rPr>
          <w:rFonts w:eastAsia="Times New Roman" w:cs="Times New Roman"/>
          <w:szCs w:val="24"/>
          <w:lang w:eastAsia="de-DE"/>
        </w:rPr>
      </w:pPr>
      <w:r w:rsidRPr="00FA7BBE">
        <w:rPr>
          <w:rFonts w:eastAsia="Times New Roman" w:cs="Times New Roman"/>
          <w:color w:val="000000"/>
          <w:szCs w:val="24"/>
          <w:lang w:eastAsia="de-DE"/>
        </w:rPr>
        <w:t>Schließlich gilt es zu beachten, dass das Vorliegen eines vernünftigen Grundes nach § 1 S. 2 TierSchG weder die Strafbarkeit nach § 17 S. 1 Nr. 2 TierSchG beseitigt, noch sonst Auswirkungen auf die darin zum Ausdruck kommende Wertung hat. Denn ausschließlich im Rahmen des § 17 S. 1 Nr. 1 TierSchG ist ein vernünftiger Grund relevant, er kann hier die Tatbestandsmäßigkeit einer Tötung aufheben.</w:t>
      </w:r>
      <w:r w:rsidRPr="007178CE">
        <w:rPr>
          <w:rFonts w:eastAsia="Times New Roman" w:cs="Times New Roman"/>
          <w:color w:val="000000"/>
          <w:szCs w:val="24"/>
          <w:lang w:eastAsia="de-DE"/>
        </w:rPr>
        <w:t> </w:t>
      </w:r>
    </w:p>
    <w:p w14:paraId="3A1F8491" w14:textId="77777777" w:rsidR="007178CE" w:rsidRPr="007178CE" w:rsidRDefault="007178CE" w:rsidP="007178CE">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lastRenderedPageBreak/>
        <w:t>Dies gilt nach dem eindeutigen Wortlaut aber nicht für Tiermisshandlungen nach Nr. 2 a und b (VGH Kassel NuR 1997, 296, 298; OLG Celle 6.6.1997, 23 Ss 50/97), da hier ein Verweis auf das Vorliegen eines vernünftigen Grundes fehlt. Von einem „redaktionellen Versehen“ ist schon deshalb nicht auszugehen, da in den zahlreichen Novellierungen des Gesetzes eine Änderung der Regelung (indem die Worte „ohne vernünftigen Grund“ vor die „Klammer“ gezogen werden) nicht erfolgte. </w:t>
      </w:r>
    </w:p>
    <w:p w14:paraId="662D8A16" w14:textId="77777777" w:rsidR="007178CE" w:rsidRPr="007178CE" w:rsidRDefault="007178CE" w:rsidP="007178CE">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t>Wie oben dargestellt liegt überdies kein vernünftiger Grund für die Tötung von Tauben vor.</w:t>
      </w:r>
    </w:p>
    <w:p w14:paraId="7C175EE8" w14:textId="77777777" w:rsidR="007178CE" w:rsidRPr="007178CE" w:rsidRDefault="007178CE" w:rsidP="007178CE">
      <w:pPr>
        <w:pStyle w:val="berschrift2"/>
        <w:rPr>
          <w:rFonts w:eastAsia="Times New Roman"/>
          <w:sz w:val="36"/>
          <w:szCs w:val="36"/>
          <w:lang w:eastAsia="de-DE"/>
        </w:rPr>
      </w:pPr>
      <w:r w:rsidRPr="007178CE">
        <w:rPr>
          <w:rFonts w:eastAsia="Times New Roman"/>
          <w:lang w:eastAsia="de-DE"/>
        </w:rPr>
        <w:t>Effektive und schonende Methode zur Bestandsminimierung</w:t>
      </w:r>
    </w:p>
    <w:p w14:paraId="27A0E038" w14:textId="77777777" w:rsidR="007178CE" w:rsidRPr="007178CE" w:rsidRDefault="007178CE" w:rsidP="007178CE">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t xml:space="preserve">Wie bereits oben aufgezeigt haben Modellprojekte einer ganzen Reihe von Städten belegt, dass eine effektive Minimierung der Taubenpopulation durch die Einrichtung von Taubenhäusern möglich ist. Im Rahmen dieser Häuser sind die Taubeneier durch Attrappen zu ersetzen, um so </w:t>
      </w:r>
      <w:r w:rsidR="003322D4">
        <w:rPr>
          <w:rFonts w:eastAsia="Times New Roman" w:cs="Times New Roman"/>
          <w:color w:val="000000"/>
          <w:szCs w:val="24"/>
          <w:lang w:eastAsia="de-DE"/>
        </w:rPr>
        <w:t>einen</w:t>
      </w:r>
      <w:r w:rsidRPr="007178CE">
        <w:rPr>
          <w:rFonts w:eastAsia="Times New Roman" w:cs="Times New Roman"/>
          <w:color w:val="000000"/>
          <w:szCs w:val="24"/>
          <w:lang w:eastAsia="de-DE"/>
        </w:rPr>
        <w:t xml:space="preserve"> Rückgang der Taubenanzahl zu bewirken. </w:t>
      </w:r>
    </w:p>
    <w:p w14:paraId="61C69A96" w14:textId="77777777" w:rsidR="007178CE" w:rsidRPr="00FA7BBE" w:rsidRDefault="007178CE" w:rsidP="007178CE">
      <w:pPr>
        <w:spacing w:line="240" w:lineRule="auto"/>
        <w:jc w:val="both"/>
        <w:rPr>
          <w:rFonts w:eastAsia="Times New Roman" w:cs="Times New Roman"/>
          <w:szCs w:val="24"/>
          <w:lang w:eastAsia="de-DE"/>
        </w:rPr>
      </w:pPr>
      <w:r w:rsidRPr="00FA7BBE">
        <w:rPr>
          <w:rFonts w:eastAsia="Times New Roman" w:cs="Times New Roman"/>
          <w:color w:val="000000"/>
          <w:szCs w:val="24"/>
          <w:lang w:eastAsia="de-DE"/>
        </w:rPr>
        <w:t>So berichtet die Stadt Saarbrücken, welche seit 2005 eben dieses Modell betreibt, Folgendes über das errichtete Taubenhaus und den Erfolg des Projekts insgesamt: </w:t>
      </w:r>
    </w:p>
    <w:p w14:paraId="1B2548F5" w14:textId="77777777" w:rsidR="007178CE" w:rsidRDefault="007178CE" w:rsidP="007178CE">
      <w:pPr>
        <w:spacing w:line="240" w:lineRule="auto"/>
        <w:jc w:val="both"/>
        <w:rPr>
          <w:rFonts w:eastAsia="Times New Roman" w:cs="Times New Roman"/>
          <w:i/>
          <w:iCs/>
          <w:color w:val="000000"/>
          <w:szCs w:val="24"/>
          <w:lang w:eastAsia="de-DE"/>
        </w:rPr>
      </w:pPr>
      <w:r w:rsidRPr="00FA7BBE">
        <w:rPr>
          <w:rFonts w:eastAsia="Times New Roman" w:cs="Times New Roman"/>
          <w:color w:val="000000"/>
          <w:szCs w:val="24"/>
          <w:lang w:eastAsia="de-DE"/>
        </w:rPr>
        <w:t>„</w:t>
      </w:r>
      <w:r w:rsidRPr="00FA7BBE">
        <w:rPr>
          <w:rFonts w:eastAsia="Times New Roman" w:cs="Times New Roman"/>
          <w:i/>
          <w:iCs/>
          <w:color w:val="000000"/>
          <w:szCs w:val="24"/>
          <w:lang w:eastAsia="de-DE"/>
        </w:rPr>
        <w:t>In diesem wird die Taubenpopulation anhand zwei fester Taubenschläge im Stadtgebiet und die darin stattfindende Fütterung und Entnahme der Taubeneier durchgeführt. Diese Maßnahme ist Teil der Zusammenarbeit mit dem „Stadttauben Saarbrücken e.V.“ und ist durchaus erfolgreich. Der Stadttaubenverein entnimmt die gelegten Eier und tauscht diese durch Gipseier aus. Darüber hinaus werden kranke und flugunfähige Tauben an die dafür eingerichteten Pflegestellen verbracht, um diese zu untersuchen und nach erfolgreicher Genesung wieder an die Taubenschläge zurückzubringen.  Seit 2005 hat der Stadttaubenverein so circa 2.000 Eier pro Jahr ausgetauscht. Die Taubenpopulation wurde seit diesem Zeitpunkt von 1.670 Tiere auf nunmehr 600 - 900 Tauben reduziert. (…)  Zudem konnte der Kotabsatz im Stadtgebiet erheblich reduziert werden, denn dieser verbleibt geballt in direkter Umgebung des Taubenschlages. Der Taubenverein entfernt aus den Taubenhäusern jedes Jahr über 15 Tonnen Kot.“</w:t>
      </w:r>
    </w:p>
    <w:p w14:paraId="006C9807" w14:textId="59C90D47" w:rsidR="00C8546B" w:rsidRPr="007178CE" w:rsidRDefault="00C8546B" w:rsidP="007178CE">
      <w:pPr>
        <w:spacing w:line="240" w:lineRule="auto"/>
        <w:jc w:val="both"/>
        <w:rPr>
          <w:rFonts w:eastAsia="Times New Roman" w:cs="Times New Roman"/>
          <w:szCs w:val="24"/>
          <w:lang w:eastAsia="de-DE"/>
        </w:rPr>
      </w:pPr>
      <w:r>
        <w:rPr>
          <w:rFonts w:eastAsia="Times New Roman" w:cs="Times New Roman"/>
          <w:iCs/>
          <w:color w:val="000000"/>
          <w:szCs w:val="24"/>
          <w:lang w:eastAsia="de-DE"/>
        </w:rPr>
        <w:t>(Auskunft der Stadt Saarbrücken, d. d. Verf. vorliegt</w:t>
      </w:r>
      <w:r w:rsidR="00F24286">
        <w:rPr>
          <w:rFonts w:eastAsia="Times New Roman" w:cs="Times New Roman"/>
          <w:iCs/>
          <w:color w:val="000000"/>
          <w:szCs w:val="24"/>
          <w:lang w:eastAsia="de-DE"/>
        </w:rPr>
        <w:t xml:space="preserve"> und auf Anfrage übersandt werden kann</w:t>
      </w:r>
      <w:r>
        <w:rPr>
          <w:rFonts w:eastAsia="Times New Roman" w:cs="Times New Roman"/>
          <w:iCs/>
          <w:color w:val="000000"/>
          <w:szCs w:val="24"/>
          <w:lang w:eastAsia="de-DE"/>
        </w:rPr>
        <w:t>)</w:t>
      </w:r>
    </w:p>
    <w:p w14:paraId="611100C9" w14:textId="77777777" w:rsidR="007178CE" w:rsidRPr="007178CE" w:rsidRDefault="007178CE" w:rsidP="007178CE">
      <w:pPr>
        <w:spacing w:line="240" w:lineRule="auto"/>
        <w:jc w:val="both"/>
        <w:rPr>
          <w:rFonts w:eastAsia="Times New Roman" w:cs="Times New Roman"/>
          <w:szCs w:val="24"/>
          <w:lang w:eastAsia="de-DE"/>
        </w:rPr>
      </w:pPr>
      <w:r w:rsidRPr="00FA7BBE">
        <w:rPr>
          <w:rFonts w:eastAsia="Times New Roman" w:cs="Times New Roman"/>
          <w:color w:val="000000"/>
          <w:szCs w:val="24"/>
          <w:lang w:eastAsia="de-DE"/>
        </w:rPr>
        <w:t>Ähnliche Erfolge gibt es auch aus anderen Städten zu hören. So hat die Stadt Tübingen innerhalb von vier Jahren die Taubenpopulation um 60 % verringert (</w:t>
      </w:r>
      <w:hyperlink r:id="rId10" w:history="1">
        <w:r w:rsidRPr="00FA7BBE">
          <w:rPr>
            <w:rFonts w:eastAsia="Times New Roman" w:cs="Times New Roman"/>
            <w:color w:val="000000"/>
            <w:szCs w:val="24"/>
            <w:lang w:eastAsia="de-DE"/>
          </w:rPr>
          <w:t>https://www.tagblatt.de/Nachrichten/Tuebingen-hat-die-Zahl-der-Stadttauben-weiter-reduziert-und-will-sein-Programm-fortsetzen-367942.html</w:t>
        </w:r>
      </w:hyperlink>
      <w:r w:rsidRPr="00FA7BBE">
        <w:rPr>
          <w:rFonts w:eastAsia="Times New Roman" w:cs="Times New Roman"/>
          <w:color w:val="000000"/>
          <w:szCs w:val="24"/>
          <w:lang w:eastAsia="de-DE"/>
        </w:rPr>
        <w:t>). Die Stadt Erlangen berichtet davon, dass sie im ersten Jahr des Projekts 90 Eier im Jahr und im Jahr 2010 bereits 2260 Eier austauschen konnte und sich der Bestand der Tauben mit dem Projekt vom anfangs 1450 Tauben und im Jahr 2012 785 fast halbiert hat (</w:t>
      </w:r>
      <w:hyperlink r:id="rId11" w:history="1">
        <w:r w:rsidRPr="00FA7BBE">
          <w:rPr>
            <w:rFonts w:eastAsia="Times New Roman" w:cs="Times New Roman"/>
            <w:color w:val="000000"/>
            <w:szCs w:val="24"/>
            <w:lang w:eastAsia="de-DE"/>
          </w:rPr>
          <w:t>http://www.nordbayern.de/region/erlangen/erlangen-wir-sind-keine-tauben-mutterchen-1.3494552</w:t>
        </w:r>
      </w:hyperlink>
      <w:r w:rsidRPr="007178CE">
        <w:rPr>
          <w:rFonts w:eastAsia="Times New Roman" w:cs="Times New Roman"/>
          <w:color w:val="000000"/>
          <w:szCs w:val="24"/>
          <w:lang w:eastAsia="de-DE"/>
        </w:rPr>
        <w:t>). Dabei begünstigen die bereits beschriebenen angezüchteten Verhaltensweisen der Tauben den Erfolg dieses Konzepts. Aufgrund ihrer Standorttreue ist nicht zu befürchten, dass die Tauben trotzdem weiterhin an anderen Orten Futter suchen oder gar brüten (</w:t>
      </w:r>
      <w:r w:rsidRPr="005A307F">
        <w:t xml:space="preserve">Peter Havelka und Silvia Sabo, </w:t>
      </w:r>
      <w:r>
        <w:t>„</w:t>
      </w:r>
      <w:r w:rsidRPr="007178CE">
        <w:rPr>
          <w:i/>
        </w:rPr>
        <w:t>Mit Stadttauben leben</w:t>
      </w:r>
      <w:r>
        <w:t>“</w:t>
      </w:r>
      <w:r w:rsidRPr="005A307F">
        <w:t>,</w:t>
      </w:r>
      <w:r w:rsidRPr="007178CE">
        <w:t xml:space="preserve"> </w:t>
      </w:r>
      <w:r>
        <w:t xml:space="preserve">Arbeitsblätter zum Naturschutz 18, 1995, </w:t>
      </w:r>
      <w:r w:rsidRPr="007178CE">
        <w:t>Landesanstalt für Umweltschutz Baden-Württemberg</w:t>
      </w:r>
      <w:r>
        <w:t>,</w:t>
      </w:r>
      <w:r w:rsidRPr="007178CE">
        <w:rPr>
          <w:rFonts w:eastAsia="Times New Roman" w:cs="Times New Roman"/>
          <w:color w:val="000000"/>
          <w:szCs w:val="24"/>
          <w:lang w:eastAsia="de-DE"/>
        </w:rPr>
        <w:t xml:space="preserve"> S. 55).</w:t>
      </w:r>
    </w:p>
    <w:p w14:paraId="6457FA5B" w14:textId="77777777" w:rsidR="007178CE" w:rsidRPr="007178CE" w:rsidRDefault="007178CE" w:rsidP="007178CE">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t>Positiver Nebeneffekt ist zudem, dass der Gesundheitszustand der Taubenpopulation über dieses Modell effektiv überwacht und mittels artgerechtem Futter und einer hinreichenden Versorgung der Tiere Krankheiten vorgebeugt bzw. bekämpft werden kann.</w:t>
      </w:r>
    </w:p>
    <w:p w14:paraId="1E2C6A79" w14:textId="390BD959" w:rsidR="007178CE" w:rsidRPr="007178CE" w:rsidRDefault="007178CE" w:rsidP="007178CE">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t xml:space="preserve">Vor diesem Hintergrund bitten wir Sie, das bestehende rechtswidrige Fütterungsverbot </w:t>
      </w:r>
      <w:r w:rsidR="004E3EF5">
        <w:rPr>
          <w:rFonts w:eastAsia="Times New Roman" w:cs="Times New Roman"/>
          <w:color w:val="000000"/>
          <w:szCs w:val="24"/>
          <w:lang w:eastAsia="de-DE"/>
        </w:rPr>
        <w:t xml:space="preserve">wegen des derzeitigen Fehlens von Nahrungsabfällen, bedingt durch die Maßnahmen gegen das Coronavirus, auszusetzen. Die Stadttauben sind zum Überleben auf Fütterung angewiesen, </w:t>
      </w:r>
      <w:r w:rsidR="004E3EF5">
        <w:rPr>
          <w:rFonts w:eastAsia="Times New Roman" w:cs="Times New Roman"/>
          <w:color w:val="000000"/>
          <w:szCs w:val="24"/>
          <w:lang w:eastAsia="de-DE"/>
        </w:rPr>
        <w:lastRenderedPageBreak/>
        <w:t xml:space="preserve">wobei die Nahrungsabfälle immerhin als notdürftiger Ersatz einer artgerechten </w:t>
      </w:r>
      <w:r w:rsidR="002B37C9">
        <w:rPr>
          <w:rFonts w:eastAsia="Times New Roman" w:cs="Times New Roman"/>
          <w:color w:val="000000"/>
          <w:szCs w:val="24"/>
          <w:lang w:eastAsia="de-DE"/>
        </w:rPr>
        <w:t xml:space="preserve">Nahrung dienen und </w:t>
      </w:r>
      <w:r w:rsidR="004E3EF5">
        <w:rPr>
          <w:rFonts w:eastAsia="Times New Roman" w:cs="Times New Roman"/>
          <w:color w:val="000000"/>
          <w:szCs w:val="24"/>
          <w:lang w:eastAsia="de-DE"/>
        </w:rPr>
        <w:t>eine Minimalversorgung bieten. Da dies zu</w:t>
      </w:r>
      <w:r w:rsidR="002B37C9">
        <w:rPr>
          <w:rFonts w:eastAsia="Times New Roman" w:cs="Times New Roman"/>
          <w:color w:val="000000"/>
          <w:szCs w:val="24"/>
          <w:lang w:eastAsia="de-DE"/>
        </w:rPr>
        <w:t>r Unter- und Mangelernährung und damit zur Anfälligkeit gegenüber Krankheiten führt, muss l</w:t>
      </w:r>
      <w:r w:rsidR="004E3EF5">
        <w:rPr>
          <w:rFonts w:eastAsia="Times New Roman" w:cs="Times New Roman"/>
          <w:color w:val="000000"/>
          <w:szCs w:val="24"/>
          <w:lang w:eastAsia="de-DE"/>
        </w:rPr>
        <w:t xml:space="preserve">angfristig das Fütterungsverbot </w:t>
      </w:r>
      <w:r w:rsidRPr="007178CE">
        <w:rPr>
          <w:rFonts w:eastAsia="Times New Roman" w:cs="Times New Roman"/>
          <w:color w:val="000000"/>
          <w:szCs w:val="24"/>
          <w:lang w:eastAsia="de-DE"/>
        </w:rPr>
        <w:t>auf</w:t>
      </w:r>
      <w:r w:rsidR="004E3EF5">
        <w:rPr>
          <w:rFonts w:eastAsia="Times New Roman" w:cs="Times New Roman"/>
          <w:color w:val="000000"/>
          <w:szCs w:val="24"/>
          <w:lang w:eastAsia="de-DE"/>
        </w:rPr>
        <w:t>gehoben</w:t>
      </w:r>
      <w:r w:rsidRPr="007178CE">
        <w:rPr>
          <w:rFonts w:eastAsia="Times New Roman" w:cs="Times New Roman"/>
          <w:color w:val="000000"/>
          <w:szCs w:val="24"/>
          <w:lang w:eastAsia="de-DE"/>
        </w:rPr>
        <w:t xml:space="preserve"> und stattdessen eine weit wirksamere und zugleich dem Tierschutzrecht entsprechende Alternativmethode zur Bestandsreduzierung </w:t>
      </w:r>
      <w:r w:rsidR="004E3EF5">
        <w:rPr>
          <w:rFonts w:eastAsia="Times New Roman" w:cs="Times New Roman"/>
          <w:color w:val="000000"/>
          <w:szCs w:val="24"/>
          <w:lang w:eastAsia="de-DE"/>
        </w:rPr>
        <w:t>eingeführt werden</w:t>
      </w:r>
      <w:r w:rsidRPr="007178CE">
        <w:rPr>
          <w:rFonts w:eastAsia="Times New Roman" w:cs="Times New Roman"/>
          <w:color w:val="000000"/>
          <w:szCs w:val="24"/>
          <w:lang w:eastAsia="de-DE"/>
        </w:rPr>
        <w:t xml:space="preserve">. Wie aufgezeigt, kommt hierfür das sog. „Augsburger Modell“ eines Taubenhauses in Betracht. Nähere Informationen zu entsprechenden Projekten finden Sie </w:t>
      </w:r>
      <w:r w:rsidR="002B37C9">
        <w:rPr>
          <w:rFonts w:eastAsia="Times New Roman" w:cs="Times New Roman"/>
          <w:color w:val="000000"/>
          <w:szCs w:val="24"/>
          <w:lang w:eastAsia="de-DE"/>
        </w:rPr>
        <w:t>im</w:t>
      </w:r>
      <w:r w:rsidR="00F13B1F">
        <w:rPr>
          <w:rFonts w:eastAsia="Times New Roman" w:cs="Times New Roman"/>
          <w:color w:val="000000"/>
          <w:szCs w:val="24"/>
          <w:lang w:eastAsia="de-DE"/>
        </w:rPr>
        <w:t xml:space="preserve"> </w:t>
      </w:r>
      <w:r w:rsidR="00F13B1F" w:rsidRPr="00F13B1F">
        <w:rPr>
          <w:rFonts w:eastAsia="Times New Roman" w:cs="Times New Roman"/>
          <w:color w:val="000000"/>
          <w:szCs w:val="24"/>
          <w:lang w:eastAsia="de-DE"/>
        </w:rPr>
        <w:t xml:space="preserve">Handbuch </w:t>
      </w:r>
      <w:r w:rsidR="00F13B1F">
        <w:rPr>
          <w:rFonts w:eastAsia="Times New Roman" w:cs="Times New Roman"/>
          <w:color w:val="000000"/>
          <w:szCs w:val="24"/>
          <w:lang w:eastAsia="de-DE"/>
        </w:rPr>
        <w:t xml:space="preserve">zum </w:t>
      </w:r>
      <w:r w:rsidR="00F13B1F" w:rsidRPr="00F13B1F">
        <w:rPr>
          <w:rFonts w:eastAsia="Times New Roman" w:cs="Times New Roman"/>
          <w:color w:val="000000"/>
          <w:szCs w:val="24"/>
          <w:lang w:eastAsia="de-DE"/>
        </w:rPr>
        <w:t>Stadttaubenmanagement</w:t>
      </w:r>
      <w:r w:rsidR="002B37C9">
        <w:rPr>
          <w:rFonts w:eastAsia="Times New Roman" w:cs="Times New Roman"/>
          <w:color w:val="000000"/>
          <w:szCs w:val="24"/>
          <w:lang w:eastAsia="de-DE"/>
        </w:rPr>
        <w:t xml:space="preserve"> </w:t>
      </w:r>
      <w:r w:rsidR="00F13B1F">
        <w:rPr>
          <w:rFonts w:eastAsia="Times New Roman" w:cs="Times New Roman"/>
          <w:color w:val="000000"/>
          <w:szCs w:val="24"/>
          <w:lang w:eastAsia="de-DE"/>
        </w:rPr>
        <w:t>des Bundesverbands Menschen für Tierrechte (pdf, siehe unten)</w:t>
      </w:r>
      <w:r w:rsidR="003322D4">
        <w:rPr>
          <w:rFonts w:eastAsia="Times New Roman" w:cs="Times New Roman"/>
          <w:color w:val="000000"/>
          <w:szCs w:val="24"/>
          <w:lang w:eastAsia="de-DE"/>
        </w:rPr>
        <w:t>.</w:t>
      </w:r>
    </w:p>
    <w:p w14:paraId="28FD6FA3" w14:textId="77777777" w:rsidR="007178CE" w:rsidRPr="007178CE" w:rsidRDefault="007178CE" w:rsidP="007178CE">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t>Gerne stehen wir überdies zu einem Gespräch über mögliche Alternativmaßnahmen zur Verfügung.</w:t>
      </w:r>
    </w:p>
    <w:p w14:paraId="17F3C0B7" w14:textId="77777777" w:rsidR="007178CE" w:rsidRPr="007178CE" w:rsidRDefault="007178CE" w:rsidP="007178CE">
      <w:pPr>
        <w:spacing w:after="0" w:line="240" w:lineRule="auto"/>
        <w:rPr>
          <w:rFonts w:eastAsia="Times New Roman" w:cs="Times New Roman"/>
          <w:szCs w:val="24"/>
          <w:lang w:eastAsia="de-DE"/>
        </w:rPr>
      </w:pPr>
    </w:p>
    <w:p w14:paraId="7D34DA42" w14:textId="77777777" w:rsidR="007178CE" w:rsidRPr="007178CE" w:rsidRDefault="007178CE" w:rsidP="007178CE">
      <w:pPr>
        <w:spacing w:line="240" w:lineRule="auto"/>
        <w:jc w:val="both"/>
        <w:rPr>
          <w:rFonts w:eastAsia="Times New Roman" w:cs="Times New Roman"/>
          <w:szCs w:val="24"/>
          <w:lang w:eastAsia="de-DE"/>
        </w:rPr>
      </w:pPr>
      <w:r w:rsidRPr="007178CE">
        <w:rPr>
          <w:rFonts w:eastAsia="Times New Roman" w:cs="Times New Roman"/>
          <w:color w:val="000000"/>
          <w:szCs w:val="24"/>
          <w:lang w:eastAsia="de-DE"/>
        </w:rPr>
        <w:t>Beste Grüße</w:t>
      </w:r>
    </w:p>
    <w:sectPr w:rsidR="007178CE" w:rsidRPr="007178CE">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8C48B" w14:textId="77777777" w:rsidR="00FA0DB9" w:rsidRDefault="00FA0DB9" w:rsidP="004E3EF5">
      <w:pPr>
        <w:spacing w:after="0" w:line="240" w:lineRule="auto"/>
      </w:pPr>
      <w:r>
        <w:separator/>
      </w:r>
    </w:p>
  </w:endnote>
  <w:endnote w:type="continuationSeparator" w:id="0">
    <w:p w14:paraId="182293D5" w14:textId="77777777" w:rsidR="00FA0DB9" w:rsidRDefault="00FA0DB9" w:rsidP="004E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474831"/>
      <w:docPartObj>
        <w:docPartGallery w:val="Page Numbers (Bottom of Page)"/>
        <w:docPartUnique/>
      </w:docPartObj>
    </w:sdtPr>
    <w:sdtEndPr>
      <w:rPr>
        <w:sz w:val="22"/>
        <w:szCs w:val="20"/>
      </w:rPr>
    </w:sdtEndPr>
    <w:sdtContent>
      <w:p w14:paraId="5FEEC6E3" w14:textId="48B4303A" w:rsidR="004E3EF5" w:rsidRPr="004E3EF5" w:rsidRDefault="004E3EF5">
        <w:pPr>
          <w:pStyle w:val="Fuzeile"/>
          <w:jc w:val="right"/>
          <w:rPr>
            <w:sz w:val="22"/>
            <w:szCs w:val="20"/>
          </w:rPr>
        </w:pPr>
        <w:r w:rsidRPr="004E3EF5">
          <w:rPr>
            <w:sz w:val="22"/>
            <w:szCs w:val="20"/>
          </w:rPr>
          <w:fldChar w:fldCharType="begin"/>
        </w:r>
        <w:r w:rsidRPr="004E3EF5">
          <w:rPr>
            <w:sz w:val="22"/>
            <w:szCs w:val="20"/>
          </w:rPr>
          <w:instrText>PAGE   \* MERGEFORMAT</w:instrText>
        </w:r>
        <w:r w:rsidRPr="004E3EF5">
          <w:rPr>
            <w:sz w:val="22"/>
            <w:szCs w:val="20"/>
          </w:rPr>
          <w:fldChar w:fldCharType="separate"/>
        </w:r>
        <w:r w:rsidRPr="004E3EF5">
          <w:rPr>
            <w:sz w:val="22"/>
            <w:szCs w:val="20"/>
          </w:rPr>
          <w:t>2</w:t>
        </w:r>
        <w:r w:rsidRPr="004E3EF5">
          <w:rPr>
            <w:sz w:val="22"/>
            <w:szCs w:val="20"/>
          </w:rPr>
          <w:fldChar w:fldCharType="end"/>
        </w:r>
      </w:p>
    </w:sdtContent>
  </w:sdt>
  <w:p w14:paraId="11B2E99F" w14:textId="77777777" w:rsidR="004E3EF5" w:rsidRDefault="004E3E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65A28" w14:textId="77777777" w:rsidR="00FA0DB9" w:rsidRDefault="00FA0DB9" w:rsidP="004E3EF5">
      <w:pPr>
        <w:spacing w:after="0" w:line="240" w:lineRule="auto"/>
      </w:pPr>
      <w:r>
        <w:separator/>
      </w:r>
    </w:p>
  </w:footnote>
  <w:footnote w:type="continuationSeparator" w:id="0">
    <w:p w14:paraId="4DAD9ADC" w14:textId="77777777" w:rsidR="00FA0DB9" w:rsidRDefault="00FA0DB9" w:rsidP="004E3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04DDF"/>
    <w:multiLevelType w:val="hybridMultilevel"/>
    <w:tmpl w:val="732A8EC0"/>
    <w:lvl w:ilvl="0" w:tplc="E9921F9E">
      <w:start w:val="1"/>
      <w:numFmt w:val="decimal"/>
      <w:lvlText w:val="%1."/>
      <w:lvlJc w:val="left"/>
      <w:pPr>
        <w:tabs>
          <w:tab w:val="num" w:pos="720"/>
        </w:tabs>
        <w:ind w:left="720" w:hanging="360"/>
      </w:pPr>
    </w:lvl>
    <w:lvl w:ilvl="1" w:tplc="6B840A20">
      <w:start w:val="2"/>
      <w:numFmt w:val="decimal"/>
      <w:lvlText w:val="%2."/>
      <w:lvlJc w:val="left"/>
      <w:pPr>
        <w:tabs>
          <w:tab w:val="num" w:pos="1440"/>
        </w:tabs>
        <w:ind w:left="1440" w:hanging="360"/>
      </w:pPr>
    </w:lvl>
    <w:lvl w:ilvl="2" w:tplc="D6120D50">
      <w:start w:val="2"/>
      <w:numFmt w:val="decimal"/>
      <w:lvlText w:val="%3."/>
      <w:lvlJc w:val="left"/>
      <w:pPr>
        <w:tabs>
          <w:tab w:val="num" w:pos="2160"/>
        </w:tabs>
        <w:ind w:left="2160" w:hanging="360"/>
      </w:pPr>
    </w:lvl>
    <w:lvl w:ilvl="3" w:tplc="FE86E0E4">
      <w:start w:val="2"/>
      <w:numFmt w:val="lowerLetter"/>
      <w:lvlText w:val="%4."/>
      <w:lvlJc w:val="left"/>
      <w:pPr>
        <w:tabs>
          <w:tab w:val="num" w:pos="2880"/>
        </w:tabs>
        <w:ind w:left="2880" w:hanging="360"/>
      </w:pPr>
    </w:lvl>
    <w:lvl w:ilvl="4" w:tplc="4502D9BC" w:tentative="1">
      <w:start w:val="1"/>
      <w:numFmt w:val="decimal"/>
      <w:lvlText w:val="%5."/>
      <w:lvlJc w:val="left"/>
      <w:pPr>
        <w:tabs>
          <w:tab w:val="num" w:pos="3600"/>
        </w:tabs>
        <w:ind w:left="3600" w:hanging="360"/>
      </w:pPr>
    </w:lvl>
    <w:lvl w:ilvl="5" w:tplc="79A89E6A" w:tentative="1">
      <w:start w:val="1"/>
      <w:numFmt w:val="decimal"/>
      <w:lvlText w:val="%6."/>
      <w:lvlJc w:val="left"/>
      <w:pPr>
        <w:tabs>
          <w:tab w:val="num" w:pos="4320"/>
        </w:tabs>
        <w:ind w:left="4320" w:hanging="360"/>
      </w:pPr>
    </w:lvl>
    <w:lvl w:ilvl="6" w:tplc="F0FEE85A" w:tentative="1">
      <w:start w:val="1"/>
      <w:numFmt w:val="decimal"/>
      <w:lvlText w:val="%7."/>
      <w:lvlJc w:val="left"/>
      <w:pPr>
        <w:tabs>
          <w:tab w:val="num" w:pos="5040"/>
        </w:tabs>
        <w:ind w:left="5040" w:hanging="360"/>
      </w:pPr>
    </w:lvl>
    <w:lvl w:ilvl="7" w:tplc="8ABE23EC" w:tentative="1">
      <w:start w:val="1"/>
      <w:numFmt w:val="decimal"/>
      <w:lvlText w:val="%8."/>
      <w:lvlJc w:val="left"/>
      <w:pPr>
        <w:tabs>
          <w:tab w:val="num" w:pos="5760"/>
        </w:tabs>
        <w:ind w:left="5760" w:hanging="360"/>
      </w:pPr>
    </w:lvl>
    <w:lvl w:ilvl="8" w:tplc="9A60D5C8" w:tentative="1">
      <w:start w:val="1"/>
      <w:numFmt w:val="decimal"/>
      <w:lvlText w:val="%9."/>
      <w:lvlJc w:val="left"/>
      <w:pPr>
        <w:tabs>
          <w:tab w:val="num" w:pos="6480"/>
        </w:tabs>
        <w:ind w:left="6480" w:hanging="360"/>
      </w:pPr>
    </w:lvl>
  </w:abstractNum>
  <w:abstractNum w:abstractNumId="1" w15:restartNumberingAfterBreak="0">
    <w:nsid w:val="1577191E"/>
    <w:multiLevelType w:val="multilevel"/>
    <w:tmpl w:val="B7F857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4"/>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3D1FE9"/>
    <w:multiLevelType w:val="multilevel"/>
    <w:tmpl w:val="B5D2AD6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7243E9"/>
    <w:multiLevelType w:val="multilevel"/>
    <w:tmpl w:val="E6D61DD0"/>
    <w:lvl w:ilvl="0">
      <w:start w:val="1"/>
      <w:numFmt w:val="upperLetter"/>
      <w:lvlText w:val="%1)"/>
      <w:lvlJc w:val="left"/>
      <w:pPr>
        <w:ind w:left="357" w:hanging="357"/>
      </w:pPr>
      <w:rPr>
        <w:rFonts w:hint="default"/>
        <w:b/>
        <w:i w:val="0"/>
      </w:rPr>
    </w:lvl>
    <w:lvl w:ilvl="1">
      <w:start w:val="1"/>
      <w:numFmt w:val="upperRoman"/>
      <w:pStyle w:val="berschrift2"/>
      <w:lvlText w:val="%2)"/>
      <w:lvlJc w:val="left"/>
      <w:pPr>
        <w:ind w:left="567" w:hanging="567"/>
      </w:pPr>
      <w:rPr>
        <w:rFonts w:hint="default"/>
        <w:b/>
        <w:i w:val="0"/>
      </w:rPr>
    </w:lvl>
    <w:lvl w:ilvl="2">
      <w:start w:val="1"/>
      <w:numFmt w:val="decimal"/>
      <w:pStyle w:val="berschrift3"/>
      <w:lvlText w:val="%3)"/>
      <w:lvlJc w:val="left"/>
      <w:pPr>
        <w:ind w:left="567" w:hanging="567"/>
      </w:pPr>
      <w:rPr>
        <w:rFonts w:hint="default"/>
        <w:b/>
        <w:i w:val="0"/>
      </w:rPr>
    </w:lvl>
    <w:lvl w:ilvl="3">
      <w:start w:val="1"/>
      <w:numFmt w:val="lowerLetter"/>
      <w:pStyle w:val="berschrift4"/>
      <w:lvlText w:val="%4)"/>
      <w:lvlJc w:val="left"/>
      <w:pPr>
        <w:ind w:left="567" w:hanging="567"/>
      </w:pPr>
      <w:rPr>
        <w:rFonts w:hint="default"/>
        <w:b/>
        <w:i w:val="0"/>
      </w:rPr>
    </w:lvl>
    <w:lvl w:ilvl="4">
      <w:start w:val="1"/>
      <w:numFmt w:val="decimal"/>
      <w:pStyle w:val="berschrift5"/>
      <w:lvlText w:val="(%5)"/>
      <w:lvlJc w:val="left"/>
      <w:pPr>
        <w:ind w:left="567" w:hanging="567"/>
      </w:pPr>
      <w:rPr>
        <w:rFonts w:hint="default"/>
        <w:b/>
        <w:i w:val="0"/>
      </w:rPr>
    </w:lvl>
    <w:lvl w:ilvl="5">
      <w:start w:val="1"/>
      <w:numFmt w:val="lowerLetter"/>
      <w:lvlText w:val="(%6)"/>
      <w:lvlJc w:val="left"/>
      <w:pPr>
        <w:ind w:left="567" w:hanging="567"/>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2D094E"/>
    <w:multiLevelType w:val="multilevel"/>
    <w:tmpl w:val="447A5D2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B6D07"/>
    <w:multiLevelType w:val="multilevel"/>
    <w:tmpl w:val="C6CABC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8679DC"/>
    <w:multiLevelType w:val="hybridMultilevel"/>
    <w:tmpl w:val="A57E762A"/>
    <w:lvl w:ilvl="0" w:tplc="9164557A">
      <w:start w:val="1"/>
      <w:numFmt w:val="decimal"/>
      <w:lvlText w:val="%1."/>
      <w:lvlJc w:val="left"/>
      <w:pPr>
        <w:tabs>
          <w:tab w:val="num" w:pos="720"/>
        </w:tabs>
        <w:ind w:left="720" w:hanging="360"/>
      </w:pPr>
    </w:lvl>
    <w:lvl w:ilvl="1" w:tplc="C3C86AB6">
      <w:start w:val="2"/>
      <w:numFmt w:val="decimal"/>
      <w:lvlText w:val="%2."/>
      <w:lvlJc w:val="left"/>
      <w:pPr>
        <w:tabs>
          <w:tab w:val="num" w:pos="1440"/>
        </w:tabs>
        <w:ind w:left="1440" w:hanging="360"/>
      </w:pPr>
    </w:lvl>
    <w:lvl w:ilvl="2" w:tplc="2ACAFAC0">
      <w:start w:val="2"/>
      <w:numFmt w:val="decimal"/>
      <w:lvlText w:val="%3."/>
      <w:lvlJc w:val="left"/>
      <w:pPr>
        <w:tabs>
          <w:tab w:val="num" w:pos="2160"/>
        </w:tabs>
        <w:ind w:left="2160" w:hanging="360"/>
      </w:pPr>
    </w:lvl>
    <w:lvl w:ilvl="3" w:tplc="453ED856">
      <w:start w:val="3"/>
      <w:numFmt w:val="lowerLetter"/>
      <w:lvlText w:val="%4."/>
      <w:lvlJc w:val="left"/>
      <w:pPr>
        <w:tabs>
          <w:tab w:val="num" w:pos="2880"/>
        </w:tabs>
        <w:ind w:left="2880" w:hanging="360"/>
      </w:pPr>
    </w:lvl>
    <w:lvl w:ilvl="4" w:tplc="F036F068" w:tentative="1">
      <w:start w:val="1"/>
      <w:numFmt w:val="decimal"/>
      <w:lvlText w:val="%5."/>
      <w:lvlJc w:val="left"/>
      <w:pPr>
        <w:tabs>
          <w:tab w:val="num" w:pos="3600"/>
        </w:tabs>
        <w:ind w:left="3600" w:hanging="360"/>
      </w:pPr>
    </w:lvl>
    <w:lvl w:ilvl="5" w:tplc="8D6E493E" w:tentative="1">
      <w:start w:val="1"/>
      <w:numFmt w:val="decimal"/>
      <w:lvlText w:val="%6."/>
      <w:lvlJc w:val="left"/>
      <w:pPr>
        <w:tabs>
          <w:tab w:val="num" w:pos="4320"/>
        </w:tabs>
        <w:ind w:left="4320" w:hanging="360"/>
      </w:pPr>
    </w:lvl>
    <w:lvl w:ilvl="6" w:tplc="61D0F812" w:tentative="1">
      <w:start w:val="1"/>
      <w:numFmt w:val="decimal"/>
      <w:lvlText w:val="%7."/>
      <w:lvlJc w:val="left"/>
      <w:pPr>
        <w:tabs>
          <w:tab w:val="num" w:pos="5040"/>
        </w:tabs>
        <w:ind w:left="5040" w:hanging="360"/>
      </w:pPr>
    </w:lvl>
    <w:lvl w:ilvl="7" w:tplc="4BF695D4" w:tentative="1">
      <w:start w:val="1"/>
      <w:numFmt w:val="decimal"/>
      <w:lvlText w:val="%8."/>
      <w:lvlJc w:val="left"/>
      <w:pPr>
        <w:tabs>
          <w:tab w:val="num" w:pos="5760"/>
        </w:tabs>
        <w:ind w:left="5760" w:hanging="360"/>
      </w:pPr>
    </w:lvl>
    <w:lvl w:ilvl="8" w:tplc="4E1C07A8" w:tentative="1">
      <w:start w:val="1"/>
      <w:numFmt w:val="decimal"/>
      <w:lvlText w:val="%9."/>
      <w:lvlJc w:val="left"/>
      <w:pPr>
        <w:tabs>
          <w:tab w:val="num" w:pos="6480"/>
        </w:tabs>
        <w:ind w:left="6480" w:hanging="360"/>
      </w:pPr>
    </w:lvl>
  </w:abstractNum>
  <w:abstractNum w:abstractNumId="7" w15:restartNumberingAfterBreak="0">
    <w:nsid w:val="347229E4"/>
    <w:multiLevelType w:val="multilevel"/>
    <w:tmpl w:val="83BC58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2"/>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4D187A"/>
    <w:multiLevelType w:val="multilevel"/>
    <w:tmpl w:val="650842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C304CE"/>
    <w:multiLevelType w:val="multilevel"/>
    <w:tmpl w:val="0044A0E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9540D4"/>
    <w:multiLevelType w:val="hybridMultilevel"/>
    <w:tmpl w:val="481A738E"/>
    <w:lvl w:ilvl="0" w:tplc="91A017E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pStyle w:val="berschrift6"/>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9435BF0"/>
    <w:multiLevelType w:val="hybridMultilevel"/>
    <w:tmpl w:val="B21ED7F6"/>
    <w:lvl w:ilvl="0" w:tplc="7E88A866">
      <w:start w:val="1"/>
      <w:numFmt w:val="decimal"/>
      <w:lvlText w:val="%1."/>
      <w:lvlJc w:val="left"/>
      <w:pPr>
        <w:tabs>
          <w:tab w:val="num" w:pos="720"/>
        </w:tabs>
        <w:ind w:left="720" w:hanging="360"/>
      </w:pPr>
    </w:lvl>
    <w:lvl w:ilvl="1" w:tplc="EB1E8500">
      <w:start w:val="2"/>
      <w:numFmt w:val="decimal"/>
      <w:lvlText w:val="%2."/>
      <w:lvlJc w:val="left"/>
      <w:pPr>
        <w:tabs>
          <w:tab w:val="num" w:pos="1440"/>
        </w:tabs>
        <w:ind w:left="1440" w:hanging="360"/>
      </w:pPr>
    </w:lvl>
    <w:lvl w:ilvl="2" w:tplc="DA64BFF6">
      <w:start w:val="1"/>
      <w:numFmt w:val="decimal"/>
      <w:lvlText w:val="%3."/>
      <w:lvlJc w:val="left"/>
      <w:pPr>
        <w:tabs>
          <w:tab w:val="num" w:pos="2160"/>
        </w:tabs>
        <w:ind w:left="2160" w:hanging="360"/>
      </w:pPr>
    </w:lvl>
    <w:lvl w:ilvl="3" w:tplc="E70EBC24">
      <w:start w:val="2"/>
      <w:numFmt w:val="lowerLetter"/>
      <w:lvlText w:val="%4."/>
      <w:lvlJc w:val="left"/>
      <w:pPr>
        <w:tabs>
          <w:tab w:val="num" w:pos="2880"/>
        </w:tabs>
        <w:ind w:left="2880" w:hanging="360"/>
      </w:pPr>
    </w:lvl>
    <w:lvl w:ilvl="4" w:tplc="29FE7A56" w:tentative="1">
      <w:start w:val="1"/>
      <w:numFmt w:val="decimal"/>
      <w:lvlText w:val="%5."/>
      <w:lvlJc w:val="left"/>
      <w:pPr>
        <w:tabs>
          <w:tab w:val="num" w:pos="3600"/>
        </w:tabs>
        <w:ind w:left="3600" w:hanging="360"/>
      </w:pPr>
    </w:lvl>
    <w:lvl w:ilvl="5" w:tplc="C19C3350" w:tentative="1">
      <w:start w:val="1"/>
      <w:numFmt w:val="decimal"/>
      <w:lvlText w:val="%6."/>
      <w:lvlJc w:val="left"/>
      <w:pPr>
        <w:tabs>
          <w:tab w:val="num" w:pos="4320"/>
        </w:tabs>
        <w:ind w:left="4320" w:hanging="360"/>
      </w:pPr>
    </w:lvl>
    <w:lvl w:ilvl="6" w:tplc="0AFCB25E" w:tentative="1">
      <w:start w:val="1"/>
      <w:numFmt w:val="decimal"/>
      <w:lvlText w:val="%7."/>
      <w:lvlJc w:val="left"/>
      <w:pPr>
        <w:tabs>
          <w:tab w:val="num" w:pos="5040"/>
        </w:tabs>
        <w:ind w:left="5040" w:hanging="360"/>
      </w:pPr>
    </w:lvl>
    <w:lvl w:ilvl="7" w:tplc="50CAB25A" w:tentative="1">
      <w:start w:val="1"/>
      <w:numFmt w:val="decimal"/>
      <w:lvlText w:val="%8."/>
      <w:lvlJc w:val="left"/>
      <w:pPr>
        <w:tabs>
          <w:tab w:val="num" w:pos="5760"/>
        </w:tabs>
        <w:ind w:left="5760" w:hanging="360"/>
      </w:pPr>
    </w:lvl>
    <w:lvl w:ilvl="8" w:tplc="CA663CE0" w:tentative="1">
      <w:start w:val="1"/>
      <w:numFmt w:val="decimal"/>
      <w:lvlText w:val="%9."/>
      <w:lvlJc w:val="left"/>
      <w:pPr>
        <w:tabs>
          <w:tab w:val="num" w:pos="6480"/>
        </w:tabs>
        <w:ind w:left="6480" w:hanging="360"/>
      </w:pPr>
    </w:lvl>
  </w:abstractNum>
  <w:abstractNum w:abstractNumId="12" w15:restartNumberingAfterBreak="0">
    <w:nsid w:val="5153236A"/>
    <w:multiLevelType w:val="multilevel"/>
    <w:tmpl w:val="02002CA6"/>
    <w:lvl w:ilvl="0">
      <w:start w:val="1"/>
      <w:numFmt w:val="upperLetter"/>
      <w:pStyle w:val="berschrift1"/>
      <w:lvlText w:val="%1."/>
      <w:lvlJc w:val="left"/>
      <w:pPr>
        <w:ind w:left="720"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A6F15FE"/>
    <w:multiLevelType w:val="hybridMultilevel"/>
    <w:tmpl w:val="D79AB24A"/>
    <w:lvl w:ilvl="0" w:tplc="64AEE878">
      <w:start w:val="1"/>
      <w:numFmt w:val="decimal"/>
      <w:lvlText w:val="%1."/>
      <w:lvlJc w:val="left"/>
      <w:pPr>
        <w:tabs>
          <w:tab w:val="num" w:pos="720"/>
        </w:tabs>
        <w:ind w:left="720" w:hanging="360"/>
      </w:pPr>
    </w:lvl>
    <w:lvl w:ilvl="1" w:tplc="EA9ADBBA">
      <w:start w:val="2"/>
      <w:numFmt w:val="upperRoman"/>
      <w:lvlText w:val="%2."/>
      <w:lvlJc w:val="right"/>
      <w:pPr>
        <w:tabs>
          <w:tab w:val="num" w:pos="1440"/>
        </w:tabs>
        <w:ind w:left="1440" w:hanging="360"/>
      </w:pPr>
    </w:lvl>
    <w:lvl w:ilvl="2" w:tplc="0826D73A" w:tentative="1">
      <w:start w:val="1"/>
      <w:numFmt w:val="decimal"/>
      <w:lvlText w:val="%3."/>
      <w:lvlJc w:val="left"/>
      <w:pPr>
        <w:tabs>
          <w:tab w:val="num" w:pos="2160"/>
        </w:tabs>
        <w:ind w:left="2160" w:hanging="360"/>
      </w:pPr>
    </w:lvl>
    <w:lvl w:ilvl="3" w:tplc="69BEFC6C" w:tentative="1">
      <w:start w:val="1"/>
      <w:numFmt w:val="decimal"/>
      <w:lvlText w:val="%4."/>
      <w:lvlJc w:val="left"/>
      <w:pPr>
        <w:tabs>
          <w:tab w:val="num" w:pos="2880"/>
        </w:tabs>
        <w:ind w:left="2880" w:hanging="360"/>
      </w:pPr>
    </w:lvl>
    <w:lvl w:ilvl="4" w:tplc="55FC0DA8" w:tentative="1">
      <w:start w:val="1"/>
      <w:numFmt w:val="decimal"/>
      <w:lvlText w:val="%5."/>
      <w:lvlJc w:val="left"/>
      <w:pPr>
        <w:tabs>
          <w:tab w:val="num" w:pos="3600"/>
        </w:tabs>
        <w:ind w:left="3600" w:hanging="360"/>
      </w:pPr>
    </w:lvl>
    <w:lvl w:ilvl="5" w:tplc="234A4B34" w:tentative="1">
      <w:start w:val="1"/>
      <w:numFmt w:val="decimal"/>
      <w:lvlText w:val="%6."/>
      <w:lvlJc w:val="left"/>
      <w:pPr>
        <w:tabs>
          <w:tab w:val="num" w:pos="4320"/>
        </w:tabs>
        <w:ind w:left="4320" w:hanging="360"/>
      </w:pPr>
    </w:lvl>
    <w:lvl w:ilvl="6" w:tplc="963851F8" w:tentative="1">
      <w:start w:val="1"/>
      <w:numFmt w:val="decimal"/>
      <w:lvlText w:val="%7."/>
      <w:lvlJc w:val="left"/>
      <w:pPr>
        <w:tabs>
          <w:tab w:val="num" w:pos="5040"/>
        </w:tabs>
        <w:ind w:left="5040" w:hanging="360"/>
      </w:pPr>
    </w:lvl>
    <w:lvl w:ilvl="7" w:tplc="EA9C07D4" w:tentative="1">
      <w:start w:val="1"/>
      <w:numFmt w:val="decimal"/>
      <w:lvlText w:val="%8."/>
      <w:lvlJc w:val="left"/>
      <w:pPr>
        <w:tabs>
          <w:tab w:val="num" w:pos="5760"/>
        </w:tabs>
        <w:ind w:left="5760" w:hanging="360"/>
      </w:pPr>
    </w:lvl>
    <w:lvl w:ilvl="8" w:tplc="A24A5D24" w:tentative="1">
      <w:start w:val="1"/>
      <w:numFmt w:val="decimal"/>
      <w:lvlText w:val="%9."/>
      <w:lvlJc w:val="left"/>
      <w:pPr>
        <w:tabs>
          <w:tab w:val="num" w:pos="6480"/>
        </w:tabs>
        <w:ind w:left="6480" w:hanging="360"/>
      </w:pPr>
    </w:lvl>
  </w:abstractNum>
  <w:abstractNum w:abstractNumId="14" w15:restartNumberingAfterBreak="0">
    <w:nsid w:val="626B6944"/>
    <w:multiLevelType w:val="multilevel"/>
    <w:tmpl w:val="502656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5E15D6"/>
    <w:multiLevelType w:val="multilevel"/>
    <w:tmpl w:val="C39E1F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3"/>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lvlOverride w:ilvl="1">
      <w:lvl w:ilvl="1">
        <w:start w:val="1"/>
        <w:numFmt w:val="upperRoman"/>
        <w:pStyle w:val="berschrift2"/>
        <w:lvlText w:val="%2)"/>
        <w:lvlJc w:val="left"/>
        <w:pPr>
          <w:ind w:left="567" w:hanging="567"/>
        </w:pPr>
        <w:rPr>
          <w:rFonts w:hint="default"/>
          <w:b/>
          <w:i w:val="0"/>
          <w:color w:val="auto"/>
        </w:rPr>
      </w:lvl>
    </w:lvlOverride>
  </w:num>
  <w:num w:numId="3">
    <w:abstractNumId w:val="3"/>
    <w:lvlOverride w:ilvl="1">
      <w:lvl w:ilvl="1">
        <w:start w:val="1"/>
        <w:numFmt w:val="upperRoman"/>
        <w:pStyle w:val="berschrift2"/>
        <w:lvlText w:val="%2)"/>
        <w:lvlJc w:val="left"/>
        <w:pPr>
          <w:ind w:left="567" w:hanging="567"/>
        </w:pPr>
        <w:rPr>
          <w:rFonts w:hint="default"/>
          <w:b/>
          <w:i w:val="0"/>
          <w:color w:val="auto"/>
        </w:rPr>
      </w:lvl>
    </w:lvlOverride>
  </w:num>
  <w:num w:numId="4">
    <w:abstractNumId w:val="3"/>
    <w:lvlOverride w:ilvl="0">
      <w:lvl w:ilvl="0">
        <w:start w:val="1"/>
        <w:numFmt w:val="upperLetter"/>
        <w:lvlText w:val="%1)"/>
        <w:lvlJc w:val="left"/>
        <w:pPr>
          <w:ind w:left="357" w:hanging="357"/>
        </w:pPr>
        <w:rPr>
          <w:rFonts w:hint="default"/>
          <w:b/>
          <w:i w:val="0"/>
        </w:rPr>
      </w:lvl>
    </w:lvlOverride>
    <w:lvlOverride w:ilvl="1">
      <w:lvl w:ilvl="1">
        <w:start w:val="1"/>
        <w:numFmt w:val="upperRoman"/>
        <w:pStyle w:val="berschrift2"/>
        <w:lvlText w:val="%2)"/>
        <w:lvlJc w:val="left"/>
        <w:pPr>
          <w:ind w:left="567" w:hanging="567"/>
        </w:pPr>
        <w:rPr>
          <w:rFonts w:hint="default"/>
          <w:b/>
          <w:i w:val="0"/>
        </w:rPr>
      </w:lvl>
    </w:lvlOverride>
    <w:lvlOverride w:ilvl="2">
      <w:lvl w:ilvl="2">
        <w:start w:val="1"/>
        <w:numFmt w:val="decimal"/>
        <w:pStyle w:val="berschrift3"/>
        <w:lvlText w:val="%3)"/>
        <w:lvlJc w:val="left"/>
        <w:pPr>
          <w:ind w:left="567" w:hanging="567"/>
        </w:pPr>
        <w:rPr>
          <w:rFonts w:hint="default"/>
          <w:b/>
          <w:i w:val="0"/>
        </w:rPr>
      </w:lvl>
    </w:lvlOverride>
    <w:lvlOverride w:ilvl="3">
      <w:lvl w:ilvl="3">
        <w:start w:val="1"/>
        <w:numFmt w:val="lowerLetter"/>
        <w:pStyle w:val="berschrift4"/>
        <w:lvlText w:val="%4)"/>
        <w:lvlJc w:val="left"/>
        <w:pPr>
          <w:ind w:left="567" w:hanging="567"/>
        </w:pPr>
        <w:rPr>
          <w:rFonts w:hint="default"/>
          <w:b/>
          <w:i w:val="0"/>
        </w:rPr>
      </w:lvl>
    </w:lvlOverride>
    <w:lvlOverride w:ilvl="4">
      <w:lvl w:ilvl="4">
        <w:start w:val="1"/>
        <w:numFmt w:val="decimal"/>
        <w:pStyle w:val="berschrift5"/>
        <w:lvlText w:val="(%5)"/>
        <w:lvlJc w:val="left"/>
        <w:pPr>
          <w:ind w:left="567" w:hanging="567"/>
        </w:pPr>
        <w:rPr>
          <w:rFonts w:hint="default"/>
          <w:b/>
          <w:i w:val="0"/>
        </w:rPr>
      </w:lvl>
    </w:lvlOverride>
    <w:lvlOverride w:ilvl="5">
      <w:lvl w:ilvl="5">
        <w:start w:val="1"/>
        <w:numFmt w:val="lowerLetter"/>
        <w:lvlText w:val="(%6)"/>
        <w:lvlJc w:val="left"/>
        <w:pPr>
          <w:ind w:left="567" w:hanging="567"/>
        </w:pPr>
        <w:rPr>
          <w:rFonts w:hint="default"/>
          <w:b/>
          <w:i w:val="0"/>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3"/>
    <w:lvlOverride w:ilvl="0">
      <w:lvl w:ilvl="0">
        <w:start w:val="1"/>
        <w:numFmt w:val="upperLetter"/>
        <w:lvlText w:val="%1)"/>
        <w:lvlJc w:val="left"/>
        <w:pPr>
          <w:ind w:left="357" w:hanging="357"/>
        </w:pPr>
        <w:rPr>
          <w:rFonts w:hint="default"/>
          <w:b/>
          <w:i w:val="0"/>
        </w:rPr>
      </w:lvl>
    </w:lvlOverride>
    <w:lvlOverride w:ilvl="1">
      <w:lvl w:ilvl="1">
        <w:start w:val="1"/>
        <w:numFmt w:val="upperRoman"/>
        <w:pStyle w:val="berschrift2"/>
        <w:lvlText w:val="%2)"/>
        <w:lvlJc w:val="left"/>
        <w:pPr>
          <w:ind w:left="567" w:hanging="567"/>
        </w:pPr>
        <w:rPr>
          <w:rFonts w:hint="default"/>
          <w:b/>
          <w:i w:val="0"/>
        </w:rPr>
      </w:lvl>
    </w:lvlOverride>
    <w:lvlOverride w:ilvl="2">
      <w:lvl w:ilvl="2">
        <w:start w:val="1"/>
        <w:numFmt w:val="decimal"/>
        <w:pStyle w:val="berschrift3"/>
        <w:lvlText w:val="%3)"/>
        <w:lvlJc w:val="left"/>
        <w:pPr>
          <w:ind w:left="567" w:hanging="567"/>
        </w:pPr>
        <w:rPr>
          <w:rFonts w:hint="default"/>
          <w:b/>
          <w:i w:val="0"/>
        </w:rPr>
      </w:lvl>
    </w:lvlOverride>
    <w:lvlOverride w:ilvl="3">
      <w:lvl w:ilvl="3">
        <w:start w:val="1"/>
        <w:numFmt w:val="lowerLetter"/>
        <w:pStyle w:val="berschrift4"/>
        <w:lvlText w:val="%4)"/>
        <w:lvlJc w:val="left"/>
        <w:pPr>
          <w:ind w:left="567" w:hanging="567"/>
        </w:pPr>
        <w:rPr>
          <w:rFonts w:hint="default"/>
          <w:b/>
          <w:i w:val="0"/>
        </w:rPr>
      </w:lvl>
    </w:lvlOverride>
    <w:lvlOverride w:ilvl="4">
      <w:lvl w:ilvl="4">
        <w:start w:val="1"/>
        <w:numFmt w:val="decimal"/>
        <w:pStyle w:val="berschrift5"/>
        <w:lvlText w:val="(%5)"/>
        <w:lvlJc w:val="left"/>
        <w:pPr>
          <w:ind w:left="567" w:hanging="567"/>
        </w:pPr>
        <w:rPr>
          <w:rFonts w:hint="default"/>
          <w:b/>
          <w:i w:val="0"/>
        </w:rPr>
      </w:lvl>
    </w:lvlOverride>
    <w:lvlOverride w:ilvl="5">
      <w:lvl w:ilvl="5">
        <w:start w:val="1"/>
        <w:numFmt w:val="lowerLetter"/>
        <w:lvlText w:val="(%6)"/>
        <w:lvlJc w:val="left"/>
        <w:pPr>
          <w:ind w:left="567" w:hanging="567"/>
        </w:pPr>
        <w:rPr>
          <w:rFonts w:hint="default"/>
          <w:b/>
          <w:i w:val="0"/>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3"/>
    <w:lvlOverride w:ilvl="0">
      <w:lvl w:ilvl="0">
        <w:start w:val="1"/>
        <w:numFmt w:val="upperLetter"/>
        <w:lvlText w:val="%1)"/>
        <w:lvlJc w:val="left"/>
        <w:pPr>
          <w:ind w:left="357" w:hanging="357"/>
        </w:pPr>
        <w:rPr>
          <w:rFonts w:hint="default"/>
          <w:b/>
          <w:i w:val="0"/>
        </w:rPr>
      </w:lvl>
    </w:lvlOverride>
    <w:lvlOverride w:ilvl="1">
      <w:lvl w:ilvl="1">
        <w:start w:val="1"/>
        <w:numFmt w:val="upperRoman"/>
        <w:pStyle w:val="berschrift2"/>
        <w:lvlText w:val="%2)"/>
        <w:lvlJc w:val="left"/>
        <w:pPr>
          <w:ind w:left="567" w:hanging="567"/>
        </w:pPr>
        <w:rPr>
          <w:rFonts w:hint="default"/>
          <w:b/>
          <w:i w:val="0"/>
        </w:rPr>
      </w:lvl>
    </w:lvlOverride>
    <w:lvlOverride w:ilvl="2">
      <w:lvl w:ilvl="2">
        <w:start w:val="1"/>
        <w:numFmt w:val="decimal"/>
        <w:pStyle w:val="berschrift3"/>
        <w:lvlText w:val="%3)"/>
        <w:lvlJc w:val="left"/>
        <w:pPr>
          <w:ind w:left="567" w:hanging="567"/>
        </w:pPr>
        <w:rPr>
          <w:rFonts w:hint="default"/>
          <w:b/>
          <w:i w:val="0"/>
        </w:rPr>
      </w:lvl>
    </w:lvlOverride>
    <w:lvlOverride w:ilvl="3">
      <w:lvl w:ilvl="3">
        <w:start w:val="1"/>
        <w:numFmt w:val="lowerLetter"/>
        <w:pStyle w:val="berschrift4"/>
        <w:lvlText w:val="%4)"/>
        <w:lvlJc w:val="left"/>
        <w:pPr>
          <w:ind w:left="567" w:hanging="567"/>
        </w:pPr>
        <w:rPr>
          <w:rFonts w:hint="default"/>
          <w:b/>
          <w:i w:val="0"/>
        </w:rPr>
      </w:lvl>
    </w:lvlOverride>
    <w:lvlOverride w:ilvl="4">
      <w:lvl w:ilvl="4">
        <w:start w:val="1"/>
        <w:numFmt w:val="decimal"/>
        <w:pStyle w:val="berschrift5"/>
        <w:lvlText w:val="(%5)"/>
        <w:lvlJc w:val="left"/>
        <w:pPr>
          <w:ind w:left="567" w:hanging="567"/>
        </w:pPr>
        <w:rPr>
          <w:rFonts w:hint="default"/>
          <w:b/>
          <w:i w:val="0"/>
        </w:rPr>
      </w:lvl>
    </w:lvlOverride>
    <w:lvlOverride w:ilvl="5">
      <w:lvl w:ilvl="5">
        <w:start w:val="1"/>
        <w:numFmt w:val="lowerLetter"/>
        <w:lvlText w:val="(%6)"/>
        <w:lvlJc w:val="left"/>
        <w:pPr>
          <w:ind w:left="567" w:hanging="567"/>
        </w:pPr>
        <w:rPr>
          <w:rFonts w:hint="default"/>
          <w:b/>
          <w:i w:val="0"/>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12"/>
  </w:num>
  <w:num w:numId="8">
    <w:abstractNumId w:val="12"/>
  </w:num>
  <w:num w:numId="9">
    <w:abstractNumId w:val="3"/>
    <w:lvlOverride w:ilvl="0">
      <w:lvl w:ilvl="0">
        <w:start w:val="1"/>
        <w:numFmt w:val="upperLetter"/>
        <w:lvlText w:val="%1)"/>
        <w:lvlJc w:val="left"/>
        <w:pPr>
          <w:ind w:left="357" w:hanging="357"/>
        </w:pPr>
        <w:rPr>
          <w:rFonts w:hint="default"/>
          <w:b/>
          <w:i w:val="0"/>
        </w:rPr>
      </w:lvl>
    </w:lvlOverride>
    <w:lvlOverride w:ilvl="1">
      <w:lvl w:ilvl="1">
        <w:start w:val="1"/>
        <w:numFmt w:val="upperRoman"/>
        <w:pStyle w:val="berschrift2"/>
        <w:lvlText w:val="%2)"/>
        <w:lvlJc w:val="left"/>
        <w:pPr>
          <w:ind w:left="567" w:hanging="567"/>
        </w:pPr>
        <w:rPr>
          <w:rFonts w:hint="default"/>
          <w:b/>
          <w:i w:val="0"/>
        </w:rPr>
      </w:lvl>
    </w:lvlOverride>
    <w:lvlOverride w:ilvl="2">
      <w:lvl w:ilvl="2">
        <w:start w:val="1"/>
        <w:numFmt w:val="decimal"/>
        <w:pStyle w:val="berschrift3"/>
        <w:lvlText w:val="%3)"/>
        <w:lvlJc w:val="left"/>
        <w:pPr>
          <w:ind w:left="567" w:hanging="567"/>
        </w:pPr>
        <w:rPr>
          <w:rFonts w:hint="default"/>
          <w:b/>
          <w:i w:val="0"/>
        </w:rPr>
      </w:lvl>
    </w:lvlOverride>
    <w:lvlOverride w:ilvl="3">
      <w:lvl w:ilvl="3">
        <w:start w:val="1"/>
        <w:numFmt w:val="lowerLetter"/>
        <w:pStyle w:val="berschrift4"/>
        <w:lvlText w:val="%4)"/>
        <w:lvlJc w:val="left"/>
        <w:pPr>
          <w:ind w:left="567" w:hanging="567"/>
        </w:pPr>
        <w:rPr>
          <w:rFonts w:hint="default"/>
          <w:b/>
          <w:i w:val="0"/>
        </w:rPr>
      </w:lvl>
    </w:lvlOverride>
    <w:lvlOverride w:ilvl="4">
      <w:lvl w:ilvl="4">
        <w:start w:val="1"/>
        <w:numFmt w:val="decimal"/>
        <w:pStyle w:val="berschrift5"/>
        <w:lvlText w:val="(%5)"/>
        <w:lvlJc w:val="left"/>
        <w:pPr>
          <w:ind w:left="567" w:hanging="567"/>
        </w:pPr>
        <w:rPr>
          <w:rFonts w:hint="default"/>
          <w:b/>
          <w:i w:val="0"/>
        </w:rPr>
      </w:lvl>
    </w:lvlOverride>
    <w:lvlOverride w:ilvl="5">
      <w:lvl w:ilvl="5">
        <w:start w:val="1"/>
        <w:numFmt w:val="lowerLetter"/>
        <w:lvlText w:val="(%6)"/>
        <w:lvlJc w:val="left"/>
        <w:pPr>
          <w:ind w:left="567" w:hanging="567"/>
        </w:pPr>
        <w:rPr>
          <w:rFonts w:hint="default"/>
          <w:b/>
          <w:i w:val="0"/>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3"/>
    <w:lvlOverride w:ilvl="0">
      <w:lvl w:ilvl="0">
        <w:start w:val="1"/>
        <w:numFmt w:val="upperLetter"/>
        <w:lvlText w:val="%1)"/>
        <w:lvlJc w:val="left"/>
        <w:pPr>
          <w:ind w:left="357" w:hanging="357"/>
        </w:pPr>
        <w:rPr>
          <w:rFonts w:hint="default"/>
          <w:b/>
          <w:i w:val="0"/>
        </w:rPr>
      </w:lvl>
    </w:lvlOverride>
    <w:lvlOverride w:ilvl="1">
      <w:lvl w:ilvl="1">
        <w:start w:val="1"/>
        <w:numFmt w:val="upperRoman"/>
        <w:pStyle w:val="berschrift2"/>
        <w:lvlText w:val="%2)"/>
        <w:lvlJc w:val="left"/>
        <w:pPr>
          <w:ind w:left="567" w:hanging="567"/>
        </w:pPr>
        <w:rPr>
          <w:rFonts w:hint="default"/>
          <w:b/>
          <w:i w:val="0"/>
        </w:rPr>
      </w:lvl>
    </w:lvlOverride>
    <w:lvlOverride w:ilvl="2">
      <w:lvl w:ilvl="2">
        <w:start w:val="1"/>
        <w:numFmt w:val="decimal"/>
        <w:pStyle w:val="berschrift3"/>
        <w:lvlText w:val="%3)"/>
        <w:lvlJc w:val="left"/>
        <w:pPr>
          <w:ind w:left="567" w:hanging="567"/>
        </w:pPr>
        <w:rPr>
          <w:rFonts w:hint="default"/>
          <w:b/>
          <w:i w:val="0"/>
        </w:rPr>
      </w:lvl>
    </w:lvlOverride>
    <w:lvlOverride w:ilvl="3">
      <w:lvl w:ilvl="3">
        <w:start w:val="1"/>
        <w:numFmt w:val="lowerLetter"/>
        <w:pStyle w:val="berschrift4"/>
        <w:lvlText w:val="%4)"/>
        <w:lvlJc w:val="left"/>
        <w:pPr>
          <w:ind w:left="567" w:hanging="567"/>
        </w:pPr>
        <w:rPr>
          <w:rFonts w:hint="default"/>
          <w:b/>
          <w:i w:val="0"/>
        </w:rPr>
      </w:lvl>
    </w:lvlOverride>
    <w:lvlOverride w:ilvl="4">
      <w:lvl w:ilvl="4">
        <w:start w:val="1"/>
        <w:numFmt w:val="decimal"/>
        <w:pStyle w:val="berschrift5"/>
        <w:lvlText w:val="(%5)"/>
        <w:lvlJc w:val="left"/>
        <w:pPr>
          <w:ind w:left="567" w:hanging="567"/>
        </w:pPr>
        <w:rPr>
          <w:rFonts w:hint="default"/>
          <w:b/>
          <w:i w:val="0"/>
        </w:rPr>
      </w:lvl>
    </w:lvlOverride>
    <w:lvlOverride w:ilvl="5">
      <w:lvl w:ilvl="5">
        <w:start w:val="1"/>
        <w:numFmt w:val="lowerLetter"/>
        <w:lvlText w:val="(%6)"/>
        <w:lvlJc w:val="left"/>
        <w:pPr>
          <w:ind w:left="567" w:hanging="567"/>
        </w:pPr>
        <w:rPr>
          <w:rFonts w:hint="default"/>
          <w:b/>
          <w:i w:val="0"/>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abstractNumId w:val="3"/>
    <w:lvlOverride w:ilvl="0">
      <w:lvl w:ilvl="0">
        <w:start w:val="1"/>
        <w:numFmt w:val="upperLetter"/>
        <w:lvlText w:val="%1)"/>
        <w:lvlJc w:val="left"/>
        <w:pPr>
          <w:ind w:left="357" w:hanging="357"/>
        </w:pPr>
        <w:rPr>
          <w:rFonts w:hint="default"/>
          <w:b/>
          <w:i w:val="0"/>
        </w:rPr>
      </w:lvl>
    </w:lvlOverride>
    <w:lvlOverride w:ilvl="1">
      <w:lvl w:ilvl="1">
        <w:start w:val="1"/>
        <w:numFmt w:val="upperRoman"/>
        <w:pStyle w:val="berschrift2"/>
        <w:lvlText w:val="%2)"/>
        <w:lvlJc w:val="left"/>
        <w:pPr>
          <w:ind w:left="567" w:hanging="567"/>
        </w:pPr>
        <w:rPr>
          <w:rFonts w:hint="default"/>
          <w:b/>
          <w:i w:val="0"/>
        </w:rPr>
      </w:lvl>
    </w:lvlOverride>
    <w:lvlOverride w:ilvl="2">
      <w:lvl w:ilvl="2">
        <w:start w:val="1"/>
        <w:numFmt w:val="decimal"/>
        <w:pStyle w:val="berschrift3"/>
        <w:lvlText w:val="%3)"/>
        <w:lvlJc w:val="left"/>
        <w:pPr>
          <w:ind w:left="567" w:hanging="567"/>
        </w:pPr>
        <w:rPr>
          <w:rFonts w:hint="default"/>
          <w:b/>
          <w:i w:val="0"/>
        </w:rPr>
      </w:lvl>
    </w:lvlOverride>
    <w:lvlOverride w:ilvl="3">
      <w:lvl w:ilvl="3">
        <w:start w:val="1"/>
        <w:numFmt w:val="lowerLetter"/>
        <w:pStyle w:val="berschrift4"/>
        <w:lvlText w:val="%4)"/>
        <w:lvlJc w:val="left"/>
        <w:pPr>
          <w:ind w:left="567" w:hanging="567"/>
        </w:pPr>
        <w:rPr>
          <w:rFonts w:hint="default"/>
          <w:b/>
          <w:i w:val="0"/>
        </w:rPr>
      </w:lvl>
    </w:lvlOverride>
    <w:lvlOverride w:ilvl="4">
      <w:lvl w:ilvl="4">
        <w:start w:val="1"/>
        <w:numFmt w:val="decimal"/>
        <w:pStyle w:val="berschrift5"/>
        <w:lvlText w:val="(%5)"/>
        <w:lvlJc w:val="left"/>
        <w:pPr>
          <w:ind w:left="567" w:hanging="567"/>
        </w:pPr>
        <w:rPr>
          <w:rFonts w:hint="default"/>
          <w:b/>
          <w:i w:val="0"/>
        </w:rPr>
      </w:lvl>
    </w:lvlOverride>
    <w:lvlOverride w:ilvl="5">
      <w:lvl w:ilvl="5">
        <w:start w:val="1"/>
        <w:numFmt w:val="lowerLetter"/>
        <w:lvlText w:val="(%6)"/>
        <w:lvlJc w:val="left"/>
        <w:pPr>
          <w:ind w:left="567" w:hanging="567"/>
        </w:pPr>
        <w:rPr>
          <w:rFonts w:hint="default"/>
          <w:b/>
          <w:i w:val="0"/>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3"/>
    <w:lvlOverride w:ilvl="0">
      <w:lvl w:ilvl="0">
        <w:start w:val="1"/>
        <w:numFmt w:val="upperLetter"/>
        <w:lvlText w:val="%1)"/>
        <w:lvlJc w:val="left"/>
        <w:pPr>
          <w:ind w:left="357" w:hanging="357"/>
        </w:pPr>
        <w:rPr>
          <w:rFonts w:hint="default"/>
          <w:b/>
          <w:i w:val="0"/>
        </w:rPr>
      </w:lvl>
    </w:lvlOverride>
    <w:lvlOverride w:ilvl="1">
      <w:lvl w:ilvl="1">
        <w:start w:val="1"/>
        <w:numFmt w:val="upperRoman"/>
        <w:pStyle w:val="berschrift2"/>
        <w:lvlText w:val="%2)"/>
        <w:lvlJc w:val="left"/>
        <w:pPr>
          <w:ind w:left="567" w:hanging="567"/>
        </w:pPr>
        <w:rPr>
          <w:rFonts w:hint="default"/>
          <w:b/>
          <w:i w:val="0"/>
        </w:rPr>
      </w:lvl>
    </w:lvlOverride>
    <w:lvlOverride w:ilvl="2">
      <w:lvl w:ilvl="2">
        <w:start w:val="1"/>
        <w:numFmt w:val="decimal"/>
        <w:pStyle w:val="berschrift3"/>
        <w:lvlText w:val="%3)"/>
        <w:lvlJc w:val="left"/>
        <w:pPr>
          <w:ind w:left="567" w:hanging="567"/>
        </w:pPr>
        <w:rPr>
          <w:rFonts w:hint="default"/>
          <w:b/>
          <w:i w:val="0"/>
        </w:rPr>
      </w:lvl>
    </w:lvlOverride>
    <w:lvlOverride w:ilvl="3">
      <w:lvl w:ilvl="3">
        <w:start w:val="1"/>
        <w:numFmt w:val="lowerLetter"/>
        <w:pStyle w:val="berschrift4"/>
        <w:lvlText w:val="%4)"/>
        <w:lvlJc w:val="left"/>
        <w:pPr>
          <w:ind w:left="567" w:hanging="567"/>
        </w:pPr>
        <w:rPr>
          <w:rFonts w:hint="default"/>
          <w:b/>
          <w:i w:val="0"/>
        </w:rPr>
      </w:lvl>
    </w:lvlOverride>
    <w:lvlOverride w:ilvl="4">
      <w:lvl w:ilvl="4">
        <w:start w:val="1"/>
        <w:numFmt w:val="decimal"/>
        <w:pStyle w:val="berschrift5"/>
        <w:lvlText w:val="(%5)"/>
        <w:lvlJc w:val="left"/>
        <w:pPr>
          <w:ind w:left="567" w:hanging="567"/>
        </w:pPr>
        <w:rPr>
          <w:rFonts w:hint="default"/>
          <w:b/>
          <w:i w:val="0"/>
        </w:rPr>
      </w:lvl>
    </w:lvlOverride>
    <w:lvlOverride w:ilvl="5">
      <w:lvl w:ilvl="5">
        <w:start w:val="1"/>
        <w:numFmt w:val="lowerLetter"/>
        <w:lvlText w:val="(%6)"/>
        <w:lvlJc w:val="left"/>
        <w:pPr>
          <w:ind w:left="567" w:hanging="567"/>
        </w:pPr>
        <w:rPr>
          <w:rFonts w:hint="default"/>
          <w:b/>
          <w:i w:val="0"/>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10"/>
  </w:num>
  <w:num w:numId="14">
    <w:abstractNumId w:val="12"/>
  </w:num>
  <w:num w:numId="15">
    <w:abstractNumId w:val="3"/>
    <w:lvlOverride w:ilvl="0">
      <w:lvl w:ilvl="0">
        <w:start w:val="1"/>
        <w:numFmt w:val="upperLetter"/>
        <w:lvlText w:val="%1)"/>
        <w:lvlJc w:val="left"/>
        <w:pPr>
          <w:ind w:left="357" w:hanging="357"/>
        </w:pPr>
        <w:rPr>
          <w:rFonts w:hint="default"/>
          <w:b/>
          <w:i w:val="0"/>
        </w:rPr>
      </w:lvl>
    </w:lvlOverride>
    <w:lvlOverride w:ilvl="1">
      <w:lvl w:ilvl="1">
        <w:start w:val="1"/>
        <w:numFmt w:val="upperRoman"/>
        <w:pStyle w:val="berschrift2"/>
        <w:lvlText w:val="%2)"/>
        <w:lvlJc w:val="left"/>
        <w:pPr>
          <w:ind w:left="567" w:hanging="567"/>
        </w:pPr>
        <w:rPr>
          <w:rFonts w:hint="default"/>
          <w:b/>
          <w:i w:val="0"/>
        </w:rPr>
      </w:lvl>
    </w:lvlOverride>
    <w:lvlOverride w:ilvl="2">
      <w:lvl w:ilvl="2">
        <w:start w:val="1"/>
        <w:numFmt w:val="decimal"/>
        <w:pStyle w:val="berschrift3"/>
        <w:lvlText w:val="%3)"/>
        <w:lvlJc w:val="left"/>
        <w:pPr>
          <w:ind w:left="567" w:hanging="567"/>
        </w:pPr>
        <w:rPr>
          <w:rFonts w:hint="default"/>
          <w:b/>
          <w:i w:val="0"/>
        </w:rPr>
      </w:lvl>
    </w:lvlOverride>
    <w:lvlOverride w:ilvl="3">
      <w:lvl w:ilvl="3">
        <w:start w:val="1"/>
        <w:numFmt w:val="lowerLetter"/>
        <w:pStyle w:val="berschrift4"/>
        <w:lvlText w:val="%4)"/>
        <w:lvlJc w:val="left"/>
        <w:pPr>
          <w:ind w:left="567" w:hanging="567"/>
        </w:pPr>
        <w:rPr>
          <w:rFonts w:hint="default"/>
          <w:b/>
          <w:i w:val="0"/>
        </w:rPr>
      </w:lvl>
    </w:lvlOverride>
    <w:lvlOverride w:ilvl="4">
      <w:lvl w:ilvl="4">
        <w:start w:val="1"/>
        <w:numFmt w:val="decimal"/>
        <w:pStyle w:val="berschrift5"/>
        <w:lvlText w:val="(%5)"/>
        <w:lvlJc w:val="left"/>
        <w:pPr>
          <w:ind w:left="567" w:hanging="567"/>
        </w:pPr>
        <w:rPr>
          <w:rFonts w:hint="default"/>
          <w:b/>
          <w:i w:val="0"/>
        </w:rPr>
      </w:lvl>
    </w:lvlOverride>
    <w:lvlOverride w:ilvl="5">
      <w:lvl w:ilvl="5">
        <w:start w:val="1"/>
        <w:numFmt w:val="lowerLetter"/>
        <w:lvlText w:val="(%6)"/>
        <w:lvlJc w:val="left"/>
        <w:pPr>
          <w:ind w:left="567" w:hanging="567"/>
        </w:pPr>
        <w:rPr>
          <w:rFonts w:hint="default"/>
          <w:b/>
          <w:i w:val="0"/>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3"/>
    <w:lvlOverride w:ilvl="0">
      <w:lvl w:ilvl="0">
        <w:start w:val="1"/>
        <w:numFmt w:val="upperLetter"/>
        <w:lvlText w:val="%1)"/>
        <w:lvlJc w:val="left"/>
        <w:pPr>
          <w:ind w:left="357" w:hanging="357"/>
        </w:pPr>
        <w:rPr>
          <w:rFonts w:hint="default"/>
          <w:b/>
          <w:i w:val="0"/>
        </w:rPr>
      </w:lvl>
    </w:lvlOverride>
    <w:lvlOverride w:ilvl="1">
      <w:lvl w:ilvl="1">
        <w:start w:val="1"/>
        <w:numFmt w:val="upperRoman"/>
        <w:pStyle w:val="berschrift2"/>
        <w:lvlText w:val="%2)"/>
        <w:lvlJc w:val="left"/>
        <w:pPr>
          <w:ind w:left="567" w:hanging="567"/>
        </w:pPr>
        <w:rPr>
          <w:rFonts w:hint="default"/>
          <w:b/>
          <w:i w:val="0"/>
        </w:rPr>
      </w:lvl>
    </w:lvlOverride>
    <w:lvlOverride w:ilvl="2">
      <w:lvl w:ilvl="2">
        <w:start w:val="1"/>
        <w:numFmt w:val="decimal"/>
        <w:pStyle w:val="berschrift3"/>
        <w:lvlText w:val="%3)"/>
        <w:lvlJc w:val="left"/>
        <w:pPr>
          <w:ind w:left="567" w:hanging="567"/>
        </w:pPr>
        <w:rPr>
          <w:rFonts w:hint="default"/>
          <w:b/>
          <w:i w:val="0"/>
        </w:rPr>
      </w:lvl>
    </w:lvlOverride>
    <w:lvlOverride w:ilvl="3">
      <w:lvl w:ilvl="3">
        <w:start w:val="1"/>
        <w:numFmt w:val="lowerLetter"/>
        <w:pStyle w:val="berschrift4"/>
        <w:lvlText w:val="%4)"/>
        <w:lvlJc w:val="left"/>
        <w:pPr>
          <w:ind w:left="567" w:hanging="567"/>
        </w:pPr>
        <w:rPr>
          <w:rFonts w:hint="default"/>
          <w:b/>
          <w:i w:val="0"/>
        </w:rPr>
      </w:lvl>
    </w:lvlOverride>
    <w:lvlOverride w:ilvl="4">
      <w:lvl w:ilvl="4">
        <w:start w:val="1"/>
        <w:numFmt w:val="decimal"/>
        <w:pStyle w:val="berschrift5"/>
        <w:lvlText w:val="(%5)"/>
        <w:lvlJc w:val="left"/>
        <w:pPr>
          <w:ind w:left="567" w:hanging="567"/>
        </w:pPr>
        <w:rPr>
          <w:rFonts w:hint="default"/>
          <w:b/>
          <w:i w:val="0"/>
        </w:rPr>
      </w:lvl>
    </w:lvlOverride>
    <w:lvlOverride w:ilvl="5">
      <w:lvl w:ilvl="5">
        <w:start w:val="1"/>
        <w:numFmt w:val="lowerLetter"/>
        <w:lvlText w:val="(%6)"/>
        <w:lvlJc w:val="left"/>
        <w:pPr>
          <w:ind w:left="567" w:hanging="567"/>
        </w:pPr>
        <w:rPr>
          <w:rFonts w:hint="default"/>
          <w:b/>
          <w:i w:val="0"/>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abstractNumId w:val="3"/>
    <w:lvlOverride w:ilvl="0">
      <w:lvl w:ilvl="0">
        <w:start w:val="1"/>
        <w:numFmt w:val="upperLetter"/>
        <w:lvlText w:val="%1)"/>
        <w:lvlJc w:val="left"/>
        <w:pPr>
          <w:ind w:left="357" w:hanging="357"/>
        </w:pPr>
        <w:rPr>
          <w:rFonts w:hint="default"/>
          <w:b/>
          <w:i w:val="0"/>
        </w:rPr>
      </w:lvl>
    </w:lvlOverride>
    <w:lvlOverride w:ilvl="1">
      <w:lvl w:ilvl="1">
        <w:start w:val="1"/>
        <w:numFmt w:val="upperRoman"/>
        <w:pStyle w:val="berschrift2"/>
        <w:lvlText w:val="%2)"/>
        <w:lvlJc w:val="left"/>
        <w:pPr>
          <w:ind w:left="567" w:hanging="567"/>
        </w:pPr>
        <w:rPr>
          <w:rFonts w:hint="default"/>
          <w:b/>
          <w:i w:val="0"/>
        </w:rPr>
      </w:lvl>
    </w:lvlOverride>
    <w:lvlOverride w:ilvl="2">
      <w:lvl w:ilvl="2">
        <w:start w:val="1"/>
        <w:numFmt w:val="decimal"/>
        <w:pStyle w:val="berschrift3"/>
        <w:lvlText w:val="%3)"/>
        <w:lvlJc w:val="left"/>
        <w:pPr>
          <w:ind w:left="567" w:hanging="567"/>
        </w:pPr>
        <w:rPr>
          <w:rFonts w:hint="default"/>
          <w:b/>
          <w:i w:val="0"/>
        </w:rPr>
      </w:lvl>
    </w:lvlOverride>
    <w:lvlOverride w:ilvl="3">
      <w:lvl w:ilvl="3">
        <w:start w:val="1"/>
        <w:numFmt w:val="lowerLetter"/>
        <w:pStyle w:val="berschrift4"/>
        <w:lvlText w:val="%4)"/>
        <w:lvlJc w:val="left"/>
        <w:pPr>
          <w:ind w:left="567" w:hanging="567"/>
        </w:pPr>
        <w:rPr>
          <w:rFonts w:hint="default"/>
          <w:b/>
          <w:i w:val="0"/>
        </w:rPr>
      </w:lvl>
    </w:lvlOverride>
    <w:lvlOverride w:ilvl="4">
      <w:lvl w:ilvl="4">
        <w:start w:val="1"/>
        <w:numFmt w:val="decimal"/>
        <w:pStyle w:val="berschrift5"/>
        <w:lvlText w:val="(%5)"/>
        <w:lvlJc w:val="left"/>
        <w:pPr>
          <w:ind w:left="567" w:hanging="567"/>
        </w:pPr>
        <w:rPr>
          <w:rFonts w:hint="default"/>
          <w:b/>
          <w:i w:val="0"/>
        </w:rPr>
      </w:lvl>
    </w:lvlOverride>
    <w:lvlOverride w:ilvl="5">
      <w:lvl w:ilvl="5">
        <w:start w:val="1"/>
        <w:numFmt w:val="lowerLetter"/>
        <w:lvlText w:val="(%6)"/>
        <w:lvlJc w:val="left"/>
        <w:pPr>
          <w:ind w:left="567" w:hanging="567"/>
        </w:pPr>
        <w:rPr>
          <w:rFonts w:hint="default"/>
          <w:b/>
          <w:i w:val="0"/>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3"/>
    <w:lvlOverride w:ilvl="0">
      <w:lvl w:ilvl="0">
        <w:start w:val="1"/>
        <w:numFmt w:val="upperLetter"/>
        <w:lvlText w:val="%1)"/>
        <w:lvlJc w:val="left"/>
        <w:pPr>
          <w:ind w:left="357" w:hanging="357"/>
        </w:pPr>
        <w:rPr>
          <w:rFonts w:hint="default"/>
          <w:b/>
          <w:i w:val="0"/>
        </w:rPr>
      </w:lvl>
    </w:lvlOverride>
    <w:lvlOverride w:ilvl="1">
      <w:lvl w:ilvl="1">
        <w:start w:val="1"/>
        <w:numFmt w:val="upperRoman"/>
        <w:pStyle w:val="berschrift2"/>
        <w:lvlText w:val="%2)"/>
        <w:lvlJc w:val="left"/>
        <w:pPr>
          <w:ind w:left="567" w:hanging="567"/>
        </w:pPr>
        <w:rPr>
          <w:rFonts w:hint="default"/>
          <w:b/>
          <w:i w:val="0"/>
          <w:sz w:val="28"/>
          <w:szCs w:val="28"/>
        </w:rPr>
      </w:lvl>
    </w:lvlOverride>
    <w:lvlOverride w:ilvl="2">
      <w:lvl w:ilvl="2">
        <w:start w:val="1"/>
        <w:numFmt w:val="decimal"/>
        <w:pStyle w:val="berschrift3"/>
        <w:lvlText w:val="%3)"/>
        <w:lvlJc w:val="left"/>
        <w:pPr>
          <w:ind w:left="567" w:hanging="567"/>
        </w:pPr>
        <w:rPr>
          <w:rFonts w:hint="default"/>
          <w:b/>
          <w:i w:val="0"/>
          <w:sz w:val="24"/>
          <w:szCs w:val="24"/>
        </w:rPr>
      </w:lvl>
    </w:lvlOverride>
    <w:lvlOverride w:ilvl="3">
      <w:lvl w:ilvl="3">
        <w:start w:val="1"/>
        <w:numFmt w:val="lowerLetter"/>
        <w:pStyle w:val="berschrift4"/>
        <w:lvlText w:val="%4)"/>
        <w:lvlJc w:val="left"/>
        <w:pPr>
          <w:ind w:left="6947" w:hanging="567"/>
        </w:pPr>
        <w:rPr>
          <w:rFonts w:hint="default"/>
          <w:b/>
          <w:i w:val="0"/>
        </w:rPr>
      </w:lvl>
    </w:lvlOverride>
    <w:lvlOverride w:ilvl="4">
      <w:lvl w:ilvl="4">
        <w:start w:val="1"/>
        <w:numFmt w:val="decimal"/>
        <w:pStyle w:val="berschrift5"/>
        <w:lvlText w:val="(%5)"/>
        <w:lvlJc w:val="left"/>
        <w:pPr>
          <w:ind w:left="567" w:hanging="567"/>
        </w:pPr>
        <w:rPr>
          <w:rFonts w:hint="default"/>
          <w:b/>
          <w:i w:val="0"/>
        </w:rPr>
      </w:lvl>
    </w:lvlOverride>
    <w:lvlOverride w:ilvl="5">
      <w:lvl w:ilvl="5">
        <w:start w:val="1"/>
        <w:numFmt w:val="lowerLetter"/>
        <w:lvlText w:val="(%6)"/>
        <w:lvlJc w:val="left"/>
        <w:pPr>
          <w:ind w:left="567" w:hanging="567"/>
        </w:pPr>
        <w:rPr>
          <w:rFonts w:hint="default"/>
          <w:b/>
          <w:i w:val="0"/>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10"/>
  </w:num>
  <w:num w:numId="20">
    <w:abstractNumId w:val="14"/>
    <w:lvlOverride w:ilvl="1">
      <w:lvl w:ilvl="1">
        <w:numFmt w:val="upperRoman"/>
        <w:lvlText w:val="%2."/>
        <w:lvlJc w:val="right"/>
      </w:lvl>
    </w:lvlOverride>
  </w:num>
  <w:num w:numId="21">
    <w:abstractNumId w:val="8"/>
  </w:num>
  <w:num w:numId="22">
    <w:abstractNumId w:val="9"/>
    <w:lvlOverride w:ilvl="3">
      <w:lvl w:ilvl="3">
        <w:numFmt w:val="lowerLetter"/>
        <w:lvlText w:val="%4."/>
        <w:lvlJc w:val="left"/>
      </w:lvl>
    </w:lvlOverride>
  </w:num>
  <w:num w:numId="23">
    <w:abstractNumId w:val="5"/>
  </w:num>
  <w:num w:numId="24">
    <w:abstractNumId w:val="7"/>
    <w:lvlOverride w:ilvl="4">
      <w:lvl w:ilvl="4">
        <w:numFmt w:val="decimal"/>
        <w:lvlText w:val="%5."/>
        <w:lvlJc w:val="left"/>
      </w:lvl>
    </w:lvlOverride>
  </w:num>
  <w:num w:numId="25">
    <w:abstractNumId w:val="0"/>
  </w:num>
  <w:num w:numId="26">
    <w:abstractNumId w:val="15"/>
    <w:lvlOverride w:ilvl="4">
      <w:lvl w:ilvl="4">
        <w:numFmt w:val="decimal"/>
        <w:lvlText w:val="%5."/>
        <w:lvlJc w:val="left"/>
      </w:lvl>
    </w:lvlOverride>
  </w:num>
  <w:num w:numId="27">
    <w:abstractNumId w:val="1"/>
    <w:lvlOverride w:ilvl="4">
      <w:lvl w:ilvl="4">
        <w:numFmt w:val="decimal"/>
        <w:lvlText w:val="%5."/>
        <w:lvlJc w:val="left"/>
      </w:lvl>
    </w:lvlOverride>
  </w:num>
  <w:num w:numId="28">
    <w:abstractNumId w:val="6"/>
  </w:num>
  <w:num w:numId="29">
    <w:abstractNumId w:val="2"/>
    <w:lvlOverride w:ilvl="2">
      <w:lvl w:ilvl="2">
        <w:numFmt w:val="decimal"/>
        <w:lvlText w:val="%3."/>
        <w:lvlJc w:val="left"/>
      </w:lvl>
    </w:lvlOverride>
  </w:num>
  <w:num w:numId="30">
    <w:abstractNumId w:val="4"/>
    <w:lvlOverride w:ilvl="3">
      <w:lvl w:ilvl="3">
        <w:numFmt w:val="lowerLetter"/>
        <w:lvlText w:val="%4."/>
        <w:lvlJc w:val="left"/>
      </w:lvl>
    </w:lvlOverride>
  </w:num>
  <w:num w:numId="31">
    <w:abstractNumId w:val="1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CE"/>
    <w:rsid w:val="000228C3"/>
    <w:rsid w:val="00041680"/>
    <w:rsid w:val="001A075E"/>
    <w:rsid w:val="001C2412"/>
    <w:rsid w:val="001C78C5"/>
    <w:rsid w:val="002A0D29"/>
    <w:rsid w:val="002B37C9"/>
    <w:rsid w:val="002B672B"/>
    <w:rsid w:val="003322D4"/>
    <w:rsid w:val="00361775"/>
    <w:rsid w:val="00372CD1"/>
    <w:rsid w:val="00383242"/>
    <w:rsid w:val="0038675A"/>
    <w:rsid w:val="003F09B8"/>
    <w:rsid w:val="003F2BB8"/>
    <w:rsid w:val="00426430"/>
    <w:rsid w:val="004E3EF5"/>
    <w:rsid w:val="0051084F"/>
    <w:rsid w:val="00566969"/>
    <w:rsid w:val="005836B4"/>
    <w:rsid w:val="00593450"/>
    <w:rsid w:val="00657CF9"/>
    <w:rsid w:val="006660C4"/>
    <w:rsid w:val="006669BF"/>
    <w:rsid w:val="00672FA9"/>
    <w:rsid w:val="006D3C26"/>
    <w:rsid w:val="006E6345"/>
    <w:rsid w:val="007178CE"/>
    <w:rsid w:val="00734C74"/>
    <w:rsid w:val="00826ECF"/>
    <w:rsid w:val="00831AF8"/>
    <w:rsid w:val="00881BD0"/>
    <w:rsid w:val="0088281E"/>
    <w:rsid w:val="008F25BF"/>
    <w:rsid w:val="0090162E"/>
    <w:rsid w:val="009303F1"/>
    <w:rsid w:val="00A34BFB"/>
    <w:rsid w:val="00AA3365"/>
    <w:rsid w:val="00BB1583"/>
    <w:rsid w:val="00C344F4"/>
    <w:rsid w:val="00C42E60"/>
    <w:rsid w:val="00C8546B"/>
    <w:rsid w:val="00D34820"/>
    <w:rsid w:val="00D7086F"/>
    <w:rsid w:val="00E203A6"/>
    <w:rsid w:val="00E371E0"/>
    <w:rsid w:val="00EA21FD"/>
    <w:rsid w:val="00F03A0F"/>
    <w:rsid w:val="00F13B1F"/>
    <w:rsid w:val="00F24286"/>
    <w:rsid w:val="00FA0DB9"/>
    <w:rsid w:val="00FA5EDC"/>
    <w:rsid w:val="00FA7BBE"/>
    <w:rsid w:val="00FC5834"/>
    <w:rsid w:val="00FF39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7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6969"/>
    <w:rPr>
      <w:rFonts w:ascii="Times New Roman" w:hAnsi="Times New Roman"/>
      <w:sz w:val="24"/>
    </w:rPr>
  </w:style>
  <w:style w:type="paragraph" w:styleId="berschrift1">
    <w:name w:val="heading 1"/>
    <w:basedOn w:val="Standard"/>
    <w:next w:val="Standard"/>
    <w:link w:val="berschrift1Zchn"/>
    <w:autoRedefine/>
    <w:uiPriority w:val="9"/>
    <w:qFormat/>
    <w:rsid w:val="00BB1583"/>
    <w:pPr>
      <w:keepNext/>
      <w:keepLines/>
      <w:numPr>
        <w:numId w:val="7"/>
      </w:numPr>
      <w:spacing w:before="240" w:after="0"/>
      <w:outlineLvl w:val="0"/>
    </w:pPr>
    <w:rPr>
      <w:rFonts w:eastAsiaTheme="majorEastAsia" w:cstheme="majorBidi"/>
      <w:b/>
      <w:sz w:val="28"/>
      <w:szCs w:val="32"/>
    </w:rPr>
  </w:style>
  <w:style w:type="paragraph" w:styleId="berschrift2">
    <w:name w:val="heading 2"/>
    <w:basedOn w:val="Standard"/>
    <w:next w:val="Standard"/>
    <w:link w:val="berschrift2Zchn"/>
    <w:autoRedefine/>
    <w:uiPriority w:val="9"/>
    <w:unhideWhenUsed/>
    <w:qFormat/>
    <w:rsid w:val="00BB1583"/>
    <w:pPr>
      <w:keepNext/>
      <w:keepLines/>
      <w:numPr>
        <w:ilvl w:val="1"/>
        <w:numId w:val="18"/>
      </w:numPr>
      <w:spacing w:before="40" w:after="0" w:line="256" w:lineRule="auto"/>
      <w:jc w:val="both"/>
      <w:outlineLvl w:val="1"/>
    </w:pPr>
    <w:rPr>
      <w:rFonts w:eastAsiaTheme="majorEastAsia" w:cstheme="minorHAnsi"/>
      <w:b/>
      <w:sz w:val="28"/>
      <w:szCs w:val="28"/>
    </w:rPr>
  </w:style>
  <w:style w:type="paragraph" w:styleId="berschrift3">
    <w:name w:val="heading 3"/>
    <w:basedOn w:val="Standard"/>
    <w:next w:val="Standard"/>
    <w:link w:val="berschrift3Zchn"/>
    <w:autoRedefine/>
    <w:uiPriority w:val="9"/>
    <w:unhideWhenUsed/>
    <w:qFormat/>
    <w:rsid w:val="00BB1583"/>
    <w:pPr>
      <w:keepNext/>
      <w:keepLines/>
      <w:numPr>
        <w:ilvl w:val="2"/>
        <w:numId w:val="18"/>
      </w:numPr>
      <w:spacing w:before="40" w:after="0"/>
      <w:jc w:val="both"/>
      <w:outlineLvl w:val="2"/>
    </w:pPr>
    <w:rPr>
      <w:rFonts w:eastAsiaTheme="majorEastAsia" w:cstheme="majorBidi"/>
      <w:b/>
      <w:szCs w:val="24"/>
    </w:rPr>
  </w:style>
  <w:style w:type="paragraph" w:styleId="berschrift4">
    <w:name w:val="heading 4"/>
    <w:basedOn w:val="Standard"/>
    <w:next w:val="Standard"/>
    <w:link w:val="berschrift4Zchn"/>
    <w:autoRedefine/>
    <w:uiPriority w:val="9"/>
    <w:unhideWhenUsed/>
    <w:qFormat/>
    <w:rsid w:val="007178CE"/>
    <w:pPr>
      <w:keepNext/>
      <w:keepLines/>
      <w:numPr>
        <w:ilvl w:val="3"/>
        <w:numId w:val="18"/>
      </w:numPr>
      <w:spacing w:before="40" w:after="0"/>
      <w:ind w:left="567"/>
      <w:jc w:val="both"/>
      <w:outlineLvl w:val="3"/>
    </w:pPr>
    <w:rPr>
      <w:rFonts w:eastAsia="Times New Roman" w:cstheme="majorBidi"/>
      <w:b/>
      <w:bCs/>
      <w:iCs/>
      <w:lang w:eastAsia="de-DE"/>
    </w:rPr>
  </w:style>
  <w:style w:type="paragraph" w:styleId="berschrift5">
    <w:name w:val="heading 5"/>
    <w:basedOn w:val="Standard"/>
    <w:next w:val="Standard"/>
    <w:link w:val="berschrift5Zchn"/>
    <w:autoRedefine/>
    <w:uiPriority w:val="9"/>
    <w:unhideWhenUsed/>
    <w:qFormat/>
    <w:rsid w:val="00BB1583"/>
    <w:pPr>
      <w:keepNext/>
      <w:keepLines/>
      <w:numPr>
        <w:ilvl w:val="4"/>
        <w:numId w:val="6"/>
      </w:numPr>
      <w:spacing w:before="40" w:after="0"/>
      <w:jc w:val="both"/>
      <w:outlineLvl w:val="4"/>
    </w:pPr>
    <w:rPr>
      <w:rFonts w:eastAsiaTheme="majorEastAsia" w:cstheme="majorBidi"/>
      <w:b/>
    </w:rPr>
  </w:style>
  <w:style w:type="paragraph" w:styleId="berschrift6">
    <w:name w:val="heading 6"/>
    <w:basedOn w:val="Standard"/>
    <w:next w:val="Standard"/>
    <w:link w:val="berschrift6Zchn"/>
    <w:autoRedefine/>
    <w:uiPriority w:val="9"/>
    <w:unhideWhenUsed/>
    <w:qFormat/>
    <w:rsid w:val="00BB1583"/>
    <w:pPr>
      <w:keepNext/>
      <w:keepLines/>
      <w:numPr>
        <w:ilvl w:val="5"/>
        <w:numId w:val="1"/>
      </w:numPr>
      <w:spacing w:before="40" w:after="0"/>
      <w:ind w:left="567" w:hanging="567"/>
      <w:jc w:val="both"/>
      <w:outlineLvl w:val="5"/>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1583"/>
    <w:rPr>
      <w:rFonts w:ascii="Times New Roman" w:eastAsiaTheme="majorEastAsia" w:hAnsi="Times New Roman" w:cstheme="majorBidi"/>
      <w:b/>
      <w:sz w:val="28"/>
      <w:szCs w:val="32"/>
    </w:rPr>
  </w:style>
  <w:style w:type="character" w:customStyle="1" w:styleId="berschrift2Zchn">
    <w:name w:val="Überschrift 2 Zchn"/>
    <w:basedOn w:val="Absatz-Standardschriftart"/>
    <w:link w:val="berschrift2"/>
    <w:uiPriority w:val="9"/>
    <w:rsid w:val="00BB1583"/>
    <w:rPr>
      <w:rFonts w:ascii="Times New Roman" w:eastAsiaTheme="majorEastAsia" w:hAnsi="Times New Roman" w:cstheme="minorHAnsi"/>
      <w:b/>
      <w:sz w:val="28"/>
      <w:szCs w:val="28"/>
    </w:rPr>
  </w:style>
  <w:style w:type="character" w:customStyle="1" w:styleId="berschrift3Zchn">
    <w:name w:val="Überschrift 3 Zchn"/>
    <w:basedOn w:val="Absatz-Standardschriftart"/>
    <w:link w:val="berschrift3"/>
    <w:uiPriority w:val="9"/>
    <w:rsid w:val="00BB1583"/>
    <w:rPr>
      <w:rFonts w:ascii="Times New Roman" w:eastAsiaTheme="majorEastAsia" w:hAnsi="Times New Roman" w:cstheme="majorBidi"/>
      <w:b/>
      <w:sz w:val="24"/>
      <w:szCs w:val="24"/>
    </w:rPr>
  </w:style>
  <w:style w:type="character" w:customStyle="1" w:styleId="berschrift4Zchn">
    <w:name w:val="Überschrift 4 Zchn"/>
    <w:basedOn w:val="Absatz-Standardschriftart"/>
    <w:link w:val="berschrift4"/>
    <w:uiPriority w:val="9"/>
    <w:rsid w:val="007178CE"/>
    <w:rPr>
      <w:rFonts w:ascii="Times New Roman" w:eastAsia="Times New Roman" w:hAnsi="Times New Roman" w:cstheme="majorBidi"/>
      <w:b/>
      <w:bCs/>
      <w:iCs/>
      <w:sz w:val="24"/>
      <w:lang w:eastAsia="de-DE"/>
    </w:rPr>
  </w:style>
  <w:style w:type="character" w:customStyle="1" w:styleId="berschrift5Zchn">
    <w:name w:val="Überschrift 5 Zchn"/>
    <w:basedOn w:val="Absatz-Standardschriftart"/>
    <w:link w:val="berschrift5"/>
    <w:uiPriority w:val="9"/>
    <w:rsid w:val="00BB1583"/>
    <w:rPr>
      <w:rFonts w:ascii="Times New Roman" w:eastAsiaTheme="majorEastAsia" w:hAnsi="Times New Roman" w:cstheme="majorBidi"/>
      <w:b/>
      <w:sz w:val="24"/>
    </w:rPr>
  </w:style>
  <w:style w:type="character" w:customStyle="1" w:styleId="berschrift6Zchn">
    <w:name w:val="Überschrift 6 Zchn"/>
    <w:basedOn w:val="Absatz-Standardschriftart"/>
    <w:link w:val="berschrift6"/>
    <w:uiPriority w:val="9"/>
    <w:rsid w:val="00BB1583"/>
    <w:rPr>
      <w:rFonts w:ascii="Times New Roman" w:eastAsiaTheme="majorEastAsia" w:hAnsi="Times New Roman" w:cstheme="majorBidi"/>
      <w:b/>
      <w:sz w:val="24"/>
    </w:rPr>
  </w:style>
  <w:style w:type="paragraph" w:styleId="Listenabsatz">
    <w:name w:val="List Paragraph"/>
    <w:basedOn w:val="Standard"/>
    <w:uiPriority w:val="34"/>
    <w:qFormat/>
    <w:rsid w:val="00BB1583"/>
    <w:pPr>
      <w:ind w:left="720"/>
      <w:contextualSpacing/>
      <w:jc w:val="both"/>
    </w:pPr>
  </w:style>
  <w:style w:type="paragraph" w:styleId="StandardWeb">
    <w:name w:val="Normal (Web)"/>
    <w:basedOn w:val="Standard"/>
    <w:uiPriority w:val="99"/>
    <w:semiHidden/>
    <w:unhideWhenUsed/>
    <w:rsid w:val="007178CE"/>
    <w:pPr>
      <w:spacing w:before="100" w:beforeAutospacing="1" w:after="100" w:afterAutospacing="1" w:line="240" w:lineRule="auto"/>
    </w:pPr>
    <w:rPr>
      <w:rFonts w:eastAsia="Times New Roman" w:cs="Times New Roman"/>
      <w:szCs w:val="24"/>
      <w:lang w:eastAsia="de-DE"/>
    </w:rPr>
  </w:style>
  <w:style w:type="character" w:styleId="Hyperlink">
    <w:name w:val="Hyperlink"/>
    <w:basedOn w:val="Absatz-Standardschriftart"/>
    <w:uiPriority w:val="99"/>
    <w:unhideWhenUsed/>
    <w:rsid w:val="007178CE"/>
    <w:rPr>
      <w:color w:val="0000FF"/>
      <w:u w:val="single"/>
    </w:rPr>
  </w:style>
  <w:style w:type="character" w:styleId="Kommentarzeichen">
    <w:name w:val="annotation reference"/>
    <w:basedOn w:val="Absatz-Standardschriftart"/>
    <w:uiPriority w:val="99"/>
    <w:semiHidden/>
    <w:unhideWhenUsed/>
    <w:rsid w:val="003322D4"/>
    <w:rPr>
      <w:sz w:val="16"/>
      <w:szCs w:val="16"/>
    </w:rPr>
  </w:style>
  <w:style w:type="paragraph" w:styleId="Kommentartext">
    <w:name w:val="annotation text"/>
    <w:basedOn w:val="Standard"/>
    <w:link w:val="KommentartextZchn"/>
    <w:uiPriority w:val="99"/>
    <w:semiHidden/>
    <w:unhideWhenUsed/>
    <w:rsid w:val="003322D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322D4"/>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3322D4"/>
    <w:rPr>
      <w:b/>
      <w:bCs/>
    </w:rPr>
  </w:style>
  <w:style w:type="character" w:customStyle="1" w:styleId="KommentarthemaZchn">
    <w:name w:val="Kommentarthema Zchn"/>
    <w:basedOn w:val="KommentartextZchn"/>
    <w:link w:val="Kommentarthema"/>
    <w:uiPriority w:val="99"/>
    <w:semiHidden/>
    <w:rsid w:val="003322D4"/>
    <w:rPr>
      <w:rFonts w:ascii="Times New Roman" w:hAnsi="Times New Roman"/>
      <w:b/>
      <w:bCs/>
      <w:sz w:val="20"/>
      <w:szCs w:val="20"/>
    </w:rPr>
  </w:style>
  <w:style w:type="paragraph" w:styleId="Sprechblasentext">
    <w:name w:val="Balloon Text"/>
    <w:basedOn w:val="Standard"/>
    <w:link w:val="SprechblasentextZchn"/>
    <w:uiPriority w:val="99"/>
    <w:semiHidden/>
    <w:unhideWhenUsed/>
    <w:rsid w:val="003322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22D4"/>
    <w:rPr>
      <w:rFonts w:ascii="Segoe UI" w:hAnsi="Segoe UI" w:cs="Segoe UI"/>
      <w:sz w:val="18"/>
      <w:szCs w:val="18"/>
    </w:rPr>
  </w:style>
  <w:style w:type="paragraph" w:styleId="Kopfzeile">
    <w:name w:val="header"/>
    <w:basedOn w:val="Standard"/>
    <w:link w:val="KopfzeileZchn"/>
    <w:uiPriority w:val="99"/>
    <w:unhideWhenUsed/>
    <w:rsid w:val="004E3E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3EF5"/>
    <w:rPr>
      <w:rFonts w:ascii="Times New Roman" w:hAnsi="Times New Roman"/>
      <w:sz w:val="24"/>
    </w:rPr>
  </w:style>
  <w:style w:type="paragraph" w:styleId="Fuzeile">
    <w:name w:val="footer"/>
    <w:basedOn w:val="Standard"/>
    <w:link w:val="FuzeileZchn"/>
    <w:uiPriority w:val="99"/>
    <w:unhideWhenUsed/>
    <w:rsid w:val="004E3E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3EF5"/>
    <w:rPr>
      <w:rFonts w:ascii="Times New Roman" w:hAnsi="Times New Roman"/>
      <w:sz w:val="24"/>
    </w:rPr>
  </w:style>
  <w:style w:type="character" w:styleId="BesuchterLink">
    <w:name w:val="FollowedHyperlink"/>
    <w:basedOn w:val="Absatz-Standardschriftart"/>
    <w:uiPriority w:val="99"/>
    <w:semiHidden/>
    <w:unhideWhenUsed/>
    <w:rsid w:val="002B37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360471">
      <w:bodyDiv w:val="1"/>
      <w:marLeft w:val="0"/>
      <w:marRight w:val="0"/>
      <w:marTop w:val="0"/>
      <w:marBottom w:val="0"/>
      <w:divBdr>
        <w:top w:val="none" w:sz="0" w:space="0" w:color="auto"/>
        <w:left w:val="none" w:sz="0" w:space="0" w:color="auto"/>
        <w:bottom w:val="none" w:sz="0" w:space="0" w:color="auto"/>
        <w:right w:val="none" w:sz="0" w:space="0" w:color="auto"/>
      </w:divBdr>
    </w:div>
    <w:div w:id="211065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fr.bund.de/cm/343/schaedlingseigenschaft_von_verwilderten_haustaube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svonline.de/fuerverbraucher/schaedlingsverzeichnis/schaedlinge-h-n/haustaube.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rdbayern.de/region/erlangen/erlangen-wir-sind-keine-tauben-mutterchen-1.3494552" TargetMode="External"/><Relationship Id="rId5" Type="http://schemas.openxmlformats.org/officeDocument/2006/relationships/footnotes" Target="footnotes.xml"/><Relationship Id="rId10" Type="http://schemas.openxmlformats.org/officeDocument/2006/relationships/hyperlink" Target="https://www.tagblatt.de/Nachrichten/Tuebingen-hat-die-Zahl-der-Stadttauben-weiter-reduziert-und-will-sein-Programm-fortsetzen-367942.html" TargetMode="External"/><Relationship Id="rId4" Type="http://schemas.openxmlformats.org/officeDocument/2006/relationships/webSettings" Target="webSettings.xml"/><Relationship Id="rId9" Type="http://schemas.openxmlformats.org/officeDocument/2006/relationships/hyperlink" Target="https://mlr.baden-wuerttemberg.de/de/unser-service/presse-und-oeffentlichkeitsarbeit/pressemitteilung/pid/landesbeirat-fuer-tierschutz-ruft-tierhalter-zur-besonnenheit-auf-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4136</Words>
  <Characters>26061</Characters>
  <Application>Microsoft Office Word</Application>
  <DocSecurity>0</DocSecurity>
  <Lines>217</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2020-03-27T10:54:00Z</dcterms:created>
  <dcterms:modified xsi:type="dcterms:W3CDTF">2020-03-27T10:54:00Z</dcterms:modified>
</cp:coreProperties>
</file>